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1.jpg" ContentType="image/jpeg"/>
  <Override PartName="/word/media/rId132.gif" ContentType="image/gif"/>
  <Override PartName="/word/media/rId85.png" ContentType="image/png"/>
  <Override PartName="/word/media/rId149.png" ContentType="image/png"/>
  <Override PartName="/word/media/rId95.png" ContentType="image/png"/>
  <Override PartName="/word/media/rId102.png" ContentType="image/png"/>
  <Override PartName="/word/media/rId108.png" ContentType="image/png"/>
  <Override PartName="/word/media/rId80.png" ContentType="image/png"/>
  <Override PartName="/word/media/rId74.png" ContentType="image/png"/>
  <Override PartName="/word/media/rId70.png" ContentType="image/png"/>
  <Override PartName="/word/media/rId46.png" ContentType="image/png"/>
  <Override PartName="/word/media/rId51.png" ContentType="image/png"/>
  <Override PartName="/word/media/rId124.png" ContentType="image/png"/>
  <Override PartName="/word/media/rId34.jpg" ContentType="image/jpeg"/>
  <Override PartName="/word/media/rId11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STEF@9c14e8b</w:t>
        </w:r>
      </w:hyperlink>
      <w:r>
        <w:t xml:space="preserve"> </w:t>
      </w:r>
      <w:r>
        <w:t xml:space="preserve">del June 23, 2023.</w:t>
      </w:r>
      <w:r>
        <w:t xml:space="preserve"> </w:t>
      </w:r>
    </w:p>
    <w:p>
      <w:pPr>
        <w:pStyle w:val="Textoindependiente"/>
      </w:pPr>
      <w:r>
        <w:t xml:space="preserve">   </w:t>
      </w:r>
      <w:r>
        <w:rPr>
          <w:bCs/>
          <w:b/>
        </w:rPr>
        <w:t xml:space="preserve">Versión</w:t>
      </w:r>
      <w:r>
        <w:t xml:space="preserve"> </w:t>
      </w:r>
      <w:r>
        <w:t xml:space="preserve">del producto 1.9c14e8b de 23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1.9c14e8b del 23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23 Jun 2023</w:t>
      </w:r>
    </w:p>
    <w:p>
      <w:pPr>
        <w:pStyle w:val="Textodebloque"/>
      </w:pPr>
      <w:r>
        <w:rPr>
          <w:bCs/>
          <w:b/>
        </w:rPr>
        <w:t xml:space="preserve">Versión</w:t>
      </w:r>
      <w:r>
        <w:t xml:space="preserve"> </w:t>
      </w:r>
      <w:r>
        <w:t xml:space="preserve">1.9c14e8b</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818936c7-9e52-4588-be4a-5f52b77f29b6"/>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1.9c14e8b</w:t>
            </w:r>
            <w:r>
              <w:t xml:space="preserve"> </w:t>
            </w:r>
            <w:r>
              <w:t xml:space="preserve">del 23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w:t>
      </w:r>
    </w:p>
    <w:bookmarkEnd w:id="45"/>
    <w:bookmarkStart w:id="50"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evolutición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2d01ef6f-a1ec-46cb-86c6-f591d7364f81"/>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bookmarkEnd w:id="50"/>
    <w:bookmarkStart w:id="90" w:name="Xb941bcca8629b2e870fd85bb5d07b9dfa78c272"/>
    <w:p>
      <w:pPr>
        <w:pStyle w:val="Ttulo1"/>
      </w:pPr>
      <w:r>
        <w:t xml:space="preserve">Modelo de Gobierno SOA del FNA. Versión 0.5</w:t>
      </w:r>
    </w:p>
    <w:p>
      <w:pPr>
        <w:pStyle w:val="FirstParagraph"/>
      </w:pPr>
      <w:r>
        <w:t xml:space="preserve">Ahora incorporamos en el modelo de gobierno del FNA el resultado del diagnóstico de susceptibilidad de gobierno realizado sobre los flujos críticos de trabajo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75d396bf-e1c2-42c5-857f-57b0ab2f40fe"/>
    <w:p>
      <w:pPr>
        <w:pStyle w:val="CaptionedFigure"/>
      </w:pPr>
      <w:bookmarkStart w:id="54" w:name="fig:"/>
      <w:r>
        <w:drawing>
          <wp:inline>
            <wp:extent cx="5600700" cy="3879326"/>
            <wp:effectExtent b="0" l="0" r="0" t="0"/>
            <wp:docPr descr="Imagen 3: Versión 0.5 del Modelo de Gobierno del FNA." title="" id="52" name="Picture"/>
            <a:graphic>
              <a:graphicData uri="http://schemas.openxmlformats.org/drawingml/2006/picture">
                <pic:pic>
                  <pic:nvPicPr>
                    <pic:cNvPr descr="images/modelogob05.png" id="53" name="Picture"/>
                    <pic:cNvPicPr>
                      <a:picLocks noChangeArrowheads="1" noChangeAspect="1"/>
                    </pic:cNvPicPr>
                  </pic:nvPicPr>
                  <pic:blipFill>
                    <a:blip r:embed="rId51"/>
                    <a:stretch>
                      <a:fillRect/>
                    </a:stretch>
                  </pic:blipFill>
                  <pic:spPr bwMode="auto">
                    <a:xfrm>
                      <a:off x="0" y="0"/>
                      <a:ext cx="5600700" cy="3879326"/>
                    </a:xfrm>
                    <a:prstGeom prst="rect">
                      <a:avLst/>
                    </a:prstGeom>
                    <a:noFill/>
                    <a:ln w="9525">
                      <a:noFill/>
                      <a:headEnd/>
                      <a:tailEnd/>
                    </a:ln>
                  </pic:spPr>
                </pic:pic>
              </a:graphicData>
            </a:graphic>
          </wp:inline>
        </w:drawing>
      </w:r>
      <w:bookmarkEnd w:id="54"/>
    </w:p>
    <w:p>
      <w:pPr>
        <w:pStyle w:val="ImageCaption"/>
      </w:pPr>
      <w:r>
        <w:t xml:space="preserve">Imagen 3: Versión 0.5 del Modelo de Gobierno del FNA.</w:t>
      </w:r>
    </w:p>
    <w:bookmarkEnd w:id="0"/>
    <w:p>
      <w:pPr>
        <w:pStyle w:val="Textoindependiente"/>
      </w:pPr>
      <w:r>
        <w:rPr>
          <w:iCs/>
          <w:i/>
        </w:rPr>
        <w:t xml:space="preserve">Fuente: Elaboración propia.</w:t>
      </w:r>
    </w:p>
    <w:p>
      <w:pPr>
        <w:pStyle w:val="Textoindependiente"/>
      </w:pPr>
    </w:p>
    <w:bookmarkStart w:id="55" w:name="Xa414ec3b4e2b3c7ebfcbcbc67ca5647409b6ff0"/>
    <w:p>
      <w:pPr>
        <w:pStyle w:val="Ttulo2"/>
      </w:pPr>
      <w:r>
        <w:t xml:space="preserve">Elementos del Modelo de Gobierno, versión 0.5</w:t>
      </w:r>
    </w:p>
    <w:p>
      <w:pPr>
        <w:pStyle w:val="FirstParagraph"/>
      </w:pPr>
      <w:r>
        <w:t xml:space="preserve">Descripción de los elementos del modelo de gobierno.</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Propds.</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c>
          <w:tcPr/>
          <w:p>
            <w:pPr>
              <w:pStyle w:val="Compact"/>
            </w:pP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t xml:space="preserve">**Arquitectura FNA</w:t>
            </w:r>
          </w:p>
        </w:tc>
        <w:tc>
          <w:tcPr/>
          <w:p>
            <w:pPr>
              <w:pStyle w:val="Compact"/>
              <w:jc w:val="left"/>
            </w:pPr>
            <w:r>
              <w:t xml:space="preserve">application-interaction</w:t>
            </w:r>
          </w:p>
        </w:tc>
        <w:tc>
          <w:tcPr/>
          <w:p>
            <w:pPr>
              <w:pStyle w:val="Compact"/>
            </w:pPr>
          </w:p>
        </w:tc>
        <w:tc>
          <w:tcPr/>
          <w:p>
            <w:pPr>
              <w:pStyle w:val="Compact"/>
            </w:pP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jc w:val="left"/>
            </w:pPr>
            <w:r>
              <w:t xml:space="preserve">Métricas, conclusiones, decisiones</w:t>
            </w:r>
          </w:p>
        </w:tc>
        <w:tc>
          <w:tcPr/>
          <w:p>
            <w:pPr>
              <w:pStyle w:val="Compact"/>
            </w:pPr>
          </w:p>
        </w:tc>
      </w:tr>
      <w:tr>
        <w:tc>
          <w:tcPr/>
          <w:p>
            <w:pPr>
              <w:pStyle w:val="Compact"/>
              <w:jc w:val="left"/>
            </w:pPr>
            <w:r>
              <w:rPr>
                <w:bCs/>
                <w:b/>
              </w:rPr>
              <w:t xml:space="preserve">Especificaciones (copy)</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c>
          <w:tcPr/>
          <w:p>
            <w:pPr>
              <w:pStyle w:val="Compact"/>
            </w:pP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La ofifina de arquitetura del FNA (LOAF) recibe (y puede objetar) el requerimiento de arquitecura. La objeción de un requerimiento puede ser discutido por el Comité de Arquitectura. Inmediatamente aceptado el requerimiento, los arquitectos en cada dominio deben iniciar los análisis sobre modelos. Si no existe modelos, estos deben ser realizados previo a los análisis.</w:t>
            </w:r>
          </w:p>
        </w:tc>
        <w:tc>
          <w:tcPr/>
          <w:p>
            <w:pPr>
              <w:pStyle w:val="Compact"/>
            </w:pP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Decisión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Decisión (copy)</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c>
          <w:tcPr/>
          <w:p>
            <w:pPr>
              <w:pStyle w:val="Compact"/>
            </w:pPr>
          </w:p>
        </w:tc>
      </w:tr>
    </w:tbl>
    <w:p>
      <w:pPr>
        <w:pStyle w:val="Textoindependiente"/>
      </w:pPr>
    </w:p>
    <w:bookmarkEnd w:id="55"/>
    <w:bookmarkStart w:id="5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56"/>
    <w:bookmarkStart w:id="5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4"/>
        </w:numPr>
        <w:pStyle w:val="Compact"/>
      </w:pPr>
      <w:r>
        <w:t xml:space="preserve">Descripción del trabajo/solicitud</w:t>
      </w:r>
    </w:p>
    <w:p>
      <w:pPr>
        <w:numPr>
          <w:ilvl w:val="0"/>
          <w:numId w:val="1004"/>
        </w:numPr>
        <w:pStyle w:val="Compact"/>
      </w:pPr>
      <w:r>
        <w:t xml:space="preserve">Contexto tras el trabajo (solicitud) de arquitectura</w:t>
      </w:r>
    </w:p>
    <w:p>
      <w:pPr>
        <w:numPr>
          <w:ilvl w:val="0"/>
          <w:numId w:val="1004"/>
        </w:numPr>
        <w:pStyle w:val="Compact"/>
      </w:pPr>
      <w:r>
        <w:t xml:space="preserve">Denominación del proyecto de arquitectura y alcance (una vez aprobado el cambio)</w:t>
      </w:r>
    </w:p>
    <w:p>
      <w:pPr>
        <w:numPr>
          <w:ilvl w:val="0"/>
          <w:numId w:val="1004"/>
        </w:numPr>
        <w:pStyle w:val="Compact"/>
      </w:pPr>
      <w:r>
        <w:t xml:space="preserve">Prerequisitos para la ejecución del cambio (Vision)</w:t>
      </w:r>
    </w:p>
    <w:p>
      <w:pPr>
        <w:numPr>
          <w:ilvl w:val="0"/>
          <w:numId w:val="1004"/>
        </w:numPr>
        <w:pStyle w:val="Compact"/>
      </w:pPr>
      <w:r>
        <w:t xml:space="preserve">Esquema de trabajo del cambio en cada dominio y componente de la arquitectura</w:t>
      </w:r>
    </w:p>
    <w:p>
      <w:pPr>
        <w:numPr>
          <w:ilvl w:val="0"/>
          <w:numId w:val="1004"/>
        </w:numPr>
        <w:pStyle w:val="Compact"/>
      </w:pPr>
      <w:r>
        <w:t xml:space="preserve">Equipo de trabajo, roles, responsabilidades y entregables</w:t>
      </w:r>
    </w:p>
    <w:p>
      <w:pPr>
        <w:numPr>
          <w:ilvl w:val="0"/>
          <w:numId w:val="1004"/>
        </w:numPr>
        <w:pStyle w:val="Compact"/>
      </w:pPr>
      <w:r>
        <w:t xml:space="preserve">Criterios de aceptación</w:t>
      </w:r>
    </w:p>
    <w:p>
      <w:pPr>
        <w:numPr>
          <w:ilvl w:val="0"/>
          <w:numId w:val="1004"/>
        </w:numPr>
        <w:pStyle w:val="Compact"/>
      </w:pPr>
      <w:r>
        <w:t xml:space="preserve">Plan de trabajo y calendario</w:t>
      </w:r>
    </w:p>
    <w:p>
      <w:pPr>
        <w:numPr>
          <w:ilvl w:val="0"/>
          <w:numId w:val="1004"/>
        </w:numPr>
        <w:pStyle w:val="Compact"/>
      </w:pPr>
      <w:r>
        <w:t xml:space="preserve">Aprobaciones</w:t>
      </w:r>
    </w:p>
    <w:bookmarkEnd w:id="57"/>
    <w:bookmarkStart w:id="58" w:name="repositorio-soa"/>
    <w:p>
      <w:pPr>
        <w:pStyle w:val="Ttulo2"/>
      </w:pPr>
      <w:r>
        <w:t xml:space="preserve">Repositorio SOA</w:t>
      </w:r>
    </w:p>
    <w:bookmarkEnd w:id="58"/>
    <w:bookmarkStart w:id="59" w:name="repositorio-análisis"/>
    <w:p>
      <w:pPr>
        <w:pStyle w:val="Ttulo2"/>
      </w:pPr>
      <w:r>
        <w:t xml:space="preserve">Repositorio Análisis</w:t>
      </w:r>
    </w:p>
    <w:bookmarkEnd w:id="59"/>
    <w:bookmarkStart w:id="60" w:name="documentación-técnica"/>
    <w:p>
      <w:pPr>
        <w:pStyle w:val="Ttulo2"/>
      </w:pPr>
      <w:r>
        <w:t xml:space="preserve">Documentación Técnica</w:t>
      </w:r>
    </w:p>
    <w:p>
      <w:pPr>
        <w:pStyle w:val="FirstParagraph"/>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1.9c14e8b</w:t>
            </w:r>
            <w:r>
              <w:t xml:space="preserve"> </w:t>
            </w:r>
            <w:r>
              <w:t xml:space="preserve">del 23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60"/>
    <w:bookmarkStart w:id="65"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64" w:name="fig:objetivos-id"/>
      <w:r>
        <w:drawing>
          <wp:inline>
            <wp:extent cx="5600700" cy="3426588"/>
            <wp:effectExtent b="0" l="0" r="0" t="0"/>
            <wp:docPr descr="Imagen 4: Objetivos principal y específicos del Gobierno SOA del FNA, versión 0.5." title="" id="62" name="Picture"/>
            <a:graphic>
              <a:graphicData uri="http://schemas.openxmlformats.org/drawingml/2006/picture">
                <pic:pic>
                  <pic:nvPicPr>
                    <pic:cNvPr descr="images/GobiernoSOA.3n1.jpg" id="63" name="Picture"/>
                    <pic:cNvPicPr>
                      <a:picLocks noChangeArrowheads="1" noChangeAspect="1"/>
                    </pic:cNvPicPr>
                  </pic:nvPicPr>
                  <pic:blipFill>
                    <a:blip r:embed="rId61"/>
                    <a:stretch>
                      <a:fillRect/>
                    </a:stretch>
                  </pic:blipFill>
                  <pic:spPr bwMode="auto">
                    <a:xfrm>
                      <a:off x="0" y="0"/>
                      <a:ext cx="5600700" cy="3426588"/>
                    </a:xfrm>
                    <a:prstGeom prst="rect">
                      <a:avLst/>
                    </a:prstGeom>
                    <a:noFill/>
                    <a:ln w="9525">
                      <a:noFill/>
                      <a:headEnd/>
                      <a:tailEnd/>
                    </a:ln>
                  </pic:spPr>
                </pic:pic>
              </a:graphicData>
            </a:graphic>
          </wp:inline>
        </w:drawing>
      </w:r>
      <w:bookmarkEnd w:id="64"/>
    </w:p>
    <w:p>
      <w:pPr>
        <w:pStyle w:val="ImageCaption"/>
      </w:pPr>
      <w:r>
        <w:t xml:space="preserve">Imagen 4: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65"/>
    <w:bookmarkStart w:id="79"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5"/>
        </w:numPr>
        <w:pStyle w:val="Compact"/>
      </w:pPr>
      <w:r>
        <w:t xml:space="preserve">G-OBJ1. Vigilancia del riesgo tecnológico</w:t>
      </w:r>
    </w:p>
    <w:p>
      <w:pPr>
        <w:numPr>
          <w:ilvl w:val="0"/>
          <w:numId w:val="1005"/>
        </w:numPr>
        <w:pStyle w:val="Compact"/>
      </w:pPr>
      <w:r>
        <w:t xml:space="preserve">G-OBJ2. Vigilar el crecimiento de la complejidad y el impacto de los nuevos cambios en la arquitectura SOA del FNA</w:t>
      </w:r>
    </w:p>
    <w:p>
      <w:pPr>
        <w:numPr>
          <w:ilvl w:val="0"/>
          <w:numId w:val="1005"/>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4</w:t>
        </w:r>
      </w:hyperlink>
      <w:r>
        <w:t xml:space="preserve">. A continuación trataremos detalles de cada objetivo específico.</w:t>
      </w:r>
    </w:p>
    <w:bookmarkStart w:id="68"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66"/>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67"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67"/>
    <w:bookmarkEnd w:id="68"/>
    <w:bookmarkStart w:id="69"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69"/>
    <w:bookmarkStart w:id="78"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142f6e58-fb6c-463d-b01b-e73fb3572588"/>
    <w:p>
      <w:pPr>
        <w:pStyle w:val="CaptionedFigure"/>
      </w:pPr>
      <w:bookmarkStart w:id="73" w:name="fig:"/>
      <w:r>
        <w:drawing>
          <wp:inline>
            <wp:extent cx="5600700" cy="4232267"/>
            <wp:effectExtent b="0" l="0" r="0" t="0"/>
            <wp:docPr descr="Imagen 5: índices de efectividad de las arquitecturas del FNA." title="" id="71" name="Picture"/>
            <a:graphic>
              <a:graphicData uri="http://schemas.openxmlformats.org/drawingml/2006/picture">
                <pic:pic>
                  <pic:nvPicPr>
                    <pic:cNvPr descr="images/madurezInfo_graf.png" id="72" name="Picture"/>
                    <pic:cNvPicPr>
                      <a:picLocks noChangeArrowheads="1" noChangeAspect="1"/>
                    </pic:cNvPicPr>
                  </pic:nvPicPr>
                  <pic:blipFill>
                    <a:blip r:embed="rId70"/>
                    <a:stretch>
                      <a:fillRect/>
                    </a:stretch>
                  </pic:blipFill>
                  <pic:spPr bwMode="auto">
                    <a:xfrm>
                      <a:off x="0" y="0"/>
                      <a:ext cx="5600700" cy="4232267"/>
                    </a:xfrm>
                    <a:prstGeom prst="rect">
                      <a:avLst/>
                    </a:prstGeom>
                    <a:noFill/>
                    <a:ln w="9525">
                      <a:noFill/>
                      <a:headEnd/>
                      <a:tailEnd/>
                    </a:ln>
                  </pic:spPr>
                </pic:pic>
              </a:graphicData>
            </a:graphic>
          </wp:inline>
        </w:drawing>
      </w:r>
      <w:bookmarkEnd w:id="73"/>
    </w:p>
    <w:p>
      <w:pPr>
        <w:pStyle w:val="ImageCaption"/>
      </w:pPr>
      <w:r>
        <w:t xml:space="preserve">Imagen 5: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dc90d5ee-f3af-4f5b-913a-35ceac7f6547"/>
    <w:p>
      <w:pPr>
        <w:pStyle w:val="CaptionedFigure"/>
      </w:pPr>
      <w:bookmarkStart w:id="77" w:name="fig:"/>
      <w:r>
        <w:drawing>
          <wp:inline>
            <wp:extent cx="5600700" cy="3248963"/>
            <wp:effectExtent b="0" l="0" r="0" t="0"/>
            <wp:docPr descr="Imagen 6: Indicador principal del gobierno SOA: KPI de Vínculo Contexto Negocio-SOA. Identifica y justifica los cambios SOA en relación al Valor de negocio." title="" id="75" name="Picture"/>
            <a:graphic>
              <a:graphicData uri="http://schemas.openxmlformats.org/drawingml/2006/picture">
                <pic:pic>
                  <pic:nvPicPr>
                    <pic:cNvPr descr="images/indicadoresgob.png" id="76" name="Picture"/>
                    <pic:cNvPicPr>
                      <a:picLocks noChangeArrowheads="1" noChangeAspect="1"/>
                    </pic:cNvPicPr>
                  </pic:nvPicPr>
                  <pic:blipFill>
                    <a:blip r:embed="rId74"/>
                    <a:stretch>
                      <a:fillRect/>
                    </a:stretch>
                  </pic:blipFill>
                  <pic:spPr bwMode="auto">
                    <a:xfrm>
                      <a:off x="0" y="0"/>
                      <a:ext cx="5600700" cy="3248963"/>
                    </a:xfrm>
                    <a:prstGeom prst="rect">
                      <a:avLst/>
                    </a:prstGeom>
                    <a:noFill/>
                    <a:ln w="9525">
                      <a:noFill/>
                      <a:headEnd/>
                      <a:tailEnd/>
                    </a:ln>
                  </pic:spPr>
                </pic:pic>
              </a:graphicData>
            </a:graphic>
          </wp:inline>
        </w:drawing>
      </w:r>
      <w:bookmarkEnd w:id="77"/>
    </w:p>
    <w:p>
      <w:pPr>
        <w:pStyle w:val="ImageCaption"/>
      </w:pPr>
      <w:r>
        <w:t xml:space="preserve">Imagen 6: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78"/>
    <w:bookmarkEnd w:id="79"/>
    <w:bookmarkStart w:id="84"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6"/>
        </w:numPr>
        <w:pStyle w:val="Compact"/>
      </w:pPr>
      <w:r>
        <w:t xml:space="preserve">Desde el área, o rol, de gobierno SOA del FNA, servir de guía en la entrega de soluciones de software conforme a la arquitectura de referencia estregada por esta consultoría.</w:t>
      </w:r>
    </w:p>
    <w:p>
      <w:pPr>
        <w:numPr>
          <w:ilvl w:val="0"/>
          <w:numId w:val="1006"/>
        </w:numPr>
        <w:pStyle w:val="Compact"/>
      </w:pPr>
      <w:r>
        <w:t xml:space="preserve">Informar de desviaciones en la relación de efectividad de costos de los proyectos SOA del FNA en términos del área de inefectividad de costo e infactibilidad SOA.</w:t>
      </w:r>
    </w:p>
    <w:p>
      <w:pPr>
        <w:numPr>
          <w:ilvl w:val="0"/>
          <w:numId w:val="1006"/>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3c07a290-e2e3-4e64-a1a2-03a9d1756a5e"/>
    <w:p>
      <w:pPr>
        <w:pStyle w:val="CaptionedFigure"/>
      </w:pPr>
      <w:bookmarkStart w:id="83" w:name="fig:"/>
      <w:r>
        <w:drawing>
          <wp:inline>
            <wp:extent cx="5600700" cy="4177941"/>
            <wp:effectExtent b="0" l="0" r="0" t="0"/>
            <wp:docPr descr="Imagen 7: Objetivos secundarios del gobierno SOA del FNA" title="" id="81" name="Picture"/>
            <a:graphic>
              <a:graphicData uri="http://schemas.openxmlformats.org/drawingml/2006/picture">
                <pic:pic>
                  <pic:nvPicPr>
                    <pic:cNvPr descr="images/gobiernobjetivos.png" id="82" name="Picture"/>
                    <pic:cNvPicPr>
                      <a:picLocks noChangeArrowheads="1" noChangeAspect="1"/>
                    </pic:cNvPicPr>
                  </pic:nvPicPr>
                  <pic:blipFill>
                    <a:blip r:embed="rId80"/>
                    <a:stretch>
                      <a:fillRect/>
                    </a:stretch>
                  </pic:blipFill>
                  <pic:spPr bwMode="auto">
                    <a:xfrm>
                      <a:off x="0" y="0"/>
                      <a:ext cx="5600700" cy="4177941"/>
                    </a:xfrm>
                    <a:prstGeom prst="rect">
                      <a:avLst/>
                    </a:prstGeom>
                    <a:noFill/>
                    <a:ln w="9525">
                      <a:noFill/>
                      <a:headEnd/>
                      <a:tailEnd/>
                    </a:ln>
                  </pic:spPr>
                </pic:pic>
              </a:graphicData>
            </a:graphic>
          </wp:inline>
        </w:drawing>
      </w:r>
      <w:bookmarkEnd w:id="83"/>
    </w:p>
    <w:p>
      <w:pPr>
        <w:pStyle w:val="ImageCaption"/>
      </w:pPr>
      <w:r>
        <w:t xml:space="preserve">Imagen 7: Objetivos secundarios del gobierno SOA del FNA</w:t>
      </w:r>
    </w:p>
    <w:bookmarkEnd w:id="0"/>
    <w:p>
      <w:pPr>
        <w:pStyle w:val="Textoindependiente"/>
      </w:pPr>
      <w:r>
        <w:rPr>
          <w:iCs/>
          <w:i/>
        </w:rPr>
        <w:t xml:space="preserve">Fuente: Diagnóstico SOA. E-Service (2022)</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1.9c14e8b</w:t>
            </w:r>
            <w:r>
              <w:t xml:space="preserve"> </w:t>
            </w:r>
            <w:r>
              <w:t xml:space="preserve">del 23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84"/>
    <w:bookmarkStart w:id="89"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desarrolama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daebc6b3-0fc4-4d99-8fbf-47b211e75cc4"/>
    <w:p>
      <w:pPr>
        <w:pStyle w:val="CaptionedFigure"/>
      </w:pPr>
      <w:bookmarkStart w:id="88" w:name="fig:"/>
      <w:r>
        <w:drawing>
          <wp:inline>
            <wp:extent cx="5600700" cy="4853940"/>
            <wp:effectExtent b="0" l="0" r="0" t="0"/>
            <wp:docPr descr="Imagen 8: TOGAF 9, Fase G, Implementation governance para la implementación de las capacidades de ejecución de hojas de ruta del FNA." title="" id="86" name="Picture"/>
            <a:graphic>
              <a:graphicData uri="http://schemas.openxmlformats.org/drawingml/2006/picture">
                <pic:pic>
                  <pic:nvPicPr>
                    <pic:cNvPr descr="images/capacidades.png" id="87" name="Picture"/>
                    <pic:cNvPicPr>
                      <a:picLocks noChangeArrowheads="1" noChangeAspect="1"/>
                    </pic:cNvPicPr>
                  </pic:nvPicPr>
                  <pic:blipFill>
                    <a:blip r:embed="rId85"/>
                    <a:stretch>
                      <a:fillRect/>
                    </a:stretch>
                  </pic:blipFill>
                  <pic:spPr bwMode="auto">
                    <a:xfrm>
                      <a:off x="0" y="0"/>
                      <a:ext cx="5600700" cy="4853940"/>
                    </a:xfrm>
                    <a:prstGeom prst="rect">
                      <a:avLst/>
                    </a:prstGeom>
                    <a:noFill/>
                    <a:ln w="9525">
                      <a:noFill/>
                      <a:headEnd/>
                      <a:tailEnd/>
                    </a:ln>
                  </pic:spPr>
                </pic:pic>
              </a:graphicData>
            </a:graphic>
          </wp:inline>
        </w:drawing>
      </w:r>
      <w:bookmarkEnd w:id="88"/>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1.9c14e8b</w:t>
            </w:r>
            <w:r>
              <w:t xml:space="preserve"> </w:t>
            </w:r>
            <w:r>
              <w:t xml:space="preserve">del 23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89"/>
    <w:bookmarkEnd w:id="90"/>
    <w:bookmarkStart w:id="91"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1"/>
    <w:bookmarkStart w:id="93"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2"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1.9c14e8b</w:t>
            </w:r>
            <w:r>
              <w:t xml:space="preserve"> </w:t>
            </w:r>
            <w:r>
              <w:t xml:space="preserve">del 23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2"/>
    <w:bookmarkEnd w:id="93"/>
    <w:bookmarkStart w:id="107" w:name="Xfee84a66729f93b4560c6bc2103cda987103caf"/>
    <w:p>
      <w:pPr>
        <w:pStyle w:val="Ttulo1"/>
      </w:pPr>
      <w:r>
        <w:t xml:space="preserve">Flujos de Trabajo Oficina de Arquitectura</w:t>
      </w:r>
    </w:p>
    <w:p>
      <w:pPr>
        <w:pStyle w:val="FirstParagraph"/>
      </w:pPr>
      <w:r>
        <w:t xml:space="preserve">El flujo de trabajo de la oficina de arquitectura es el mecanimo para prevenir las carencias de gobierno (ver Análisis de suseptibilidad de gobierno (PR01)),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hemos creado los flujos siguientes definidos para priorizar la atención a los problemas encontrados en el análisis de susceptibilidad de gobierno, PR01.</w:t>
      </w:r>
    </w:p>
    <w:bookmarkStart w:id="99" w:name="Xf812f315a73bafe088111c71a2a8af4a19ed907"/>
    <w:p>
      <w:pPr>
        <w:pStyle w:val="Ttulo2"/>
      </w:pPr>
      <w:r>
        <w:t xml:space="preserve">Flujo de Trabajo Oficina de Arquitectura Interno</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0"/>
        </w:numPr>
        <w:pStyle w:val="Compact"/>
      </w:pPr>
      <w:r>
        <w:t xml:space="preserve">Recibe el requerimiento de arquitectura</w:t>
      </w:r>
    </w:p>
    <w:p>
      <w:pPr>
        <w:numPr>
          <w:ilvl w:val="1"/>
          <w:numId w:val="1011"/>
        </w:numPr>
        <w:pStyle w:val="Compact"/>
      </w:pPr>
      <w:r>
        <w:t xml:space="preserve">Inicia el proceso ADM - Fase de preliminar: alistamiento y aprobación​</w:t>
      </w:r>
    </w:p>
    <w:p>
      <w:pPr>
        <w:numPr>
          <w:ilvl w:val="1"/>
          <w:numId w:val="1011"/>
        </w:numPr>
        <w:pStyle w:val="Compact"/>
      </w:pPr>
      <w:r>
        <w:t xml:space="preserve">Arranca el modelado​ inicial o incremental, nivel 100</w:t>
      </w:r>
      <w:r>
        <w:t xml:space="preserve"> </w:t>
      </w:r>
      <w:r>
        <w:rPr>
          <w:rStyle w:val="Refdenotaalpie"/>
        </w:rPr>
        <w:footnoteReference w:id="94"/>
      </w:r>
    </w:p>
    <w:p>
      <w:pPr>
        <w:numPr>
          <w:ilvl w:val="0"/>
          <w:numId w:val="1010"/>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c8072755-6c89-4cd2-803f-cc11308735bf"/>
    <w:p>
      <w:pPr>
        <w:pStyle w:val="CaptionedFigure"/>
      </w:pPr>
      <w:bookmarkStart w:id="98" w:name="fig:"/>
      <w:r>
        <w:drawing>
          <wp:inline>
            <wp:extent cx="5600700" cy="4502286"/>
            <wp:effectExtent b="0" l="0" r="0" t="0"/>
            <wp:docPr descr="Imagen 9: alt 1. Actividades y relaciones de los estados de un flujo de trabajo de la oficina de arquitectura con arreglo al proceso ADM de TOGAF. Flujo para los requerimientos internos de la oficina de arquitectura del FNA." title="" id="96" name="Picture"/>
            <a:graphic>
              <a:graphicData uri="http://schemas.openxmlformats.org/drawingml/2006/picture">
                <pic:pic>
                  <pic:nvPicPr>
                    <pic:cNvPr descr="images/flujoADM-1.png" id="97" name="Picture"/>
                    <pic:cNvPicPr>
                      <a:picLocks noChangeArrowheads="1" noChangeAspect="1"/>
                    </pic:cNvPicPr>
                  </pic:nvPicPr>
                  <pic:blipFill>
                    <a:blip r:embed="rId95"/>
                    <a:stretch>
                      <a:fillRect/>
                    </a:stretch>
                  </pic:blipFill>
                  <pic:spPr bwMode="auto">
                    <a:xfrm>
                      <a:off x="0" y="0"/>
                      <a:ext cx="5600700" cy="4502286"/>
                    </a:xfrm>
                    <a:prstGeom prst="rect">
                      <a:avLst/>
                    </a:prstGeom>
                    <a:noFill/>
                    <a:ln w="9525">
                      <a:noFill/>
                      <a:headEnd/>
                      <a:tailEnd/>
                    </a:ln>
                  </pic:spPr>
                </pic:pic>
              </a:graphicData>
            </a:graphic>
          </wp:inline>
        </w:drawing>
      </w:r>
      <w:bookmarkEnd w:id="98"/>
    </w:p>
    <w:p>
      <w:pPr>
        <w:pStyle w:val="ImageCaption"/>
      </w:pPr>
      <w:r>
        <w:t xml:space="preserve">Imagen 9: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99"/>
    <w:bookmarkStart w:id="101" w:name="X92d03f3adb5d47af85cad9582ea8b53c71dbd40"/>
    <w:p>
      <w:pPr>
        <w:pStyle w:val="Ttulo2"/>
      </w:pPr>
      <w:r>
        <w:t xml:space="preserve">Flujo de Trabajo Oficina de Arquitectura Colaborativo (Proveedores)</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2"/>
        </w:numPr>
      </w:pPr>
      <w:r>
        <w:t xml:space="preserve">El Arq. FNA recibe el requerimientos de cambio</w:t>
      </w:r>
    </w:p>
    <w:p>
      <w:pPr>
        <w:numPr>
          <w:ilvl w:val="0"/>
          <w:numId w:val="1012"/>
        </w:numPr>
      </w:pPr>
      <w:r>
        <w:t xml:space="preserve">Inicia el proceso ADM - fase de preliminar: alistamiento y probación</w:t>
      </w:r>
    </w:p>
    <w:p>
      <w:pPr>
        <w:numPr>
          <w:ilvl w:val="0"/>
          <w:numId w:val="1012"/>
        </w:numPr>
      </w:pPr>
      <w:r>
        <w:t xml:space="preserve">Inicia el modelado</w:t>
      </w:r>
    </w:p>
    <w:p>
      <w:pPr>
        <w:numPr>
          <w:ilvl w:val="1"/>
          <w:numId w:val="1013"/>
        </w:numPr>
        <w:pStyle w:val="Compact"/>
      </w:pPr>
      <w:r>
        <w:t xml:space="preserve">Diseño</w:t>
      </w:r>
    </w:p>
    <w:p>
      <w:pPr>
        <w:numPr>
          <w:ilvl w:val="2"/>
          <w:numId w:val="1014"/>
        </w:numPr>
        <w:pStyle w:val="Compact"/>
      </w:pPr>
      <w:r>
        <w:t xml:space="preserve">Inicia diseño conceptual (nivel 100): appl, datos, TI, servicios, inversión</w:t>
      </w:r>
    </w:p>
    <w:p>
      <w:pPr>
        <w:numPr>
          <w:ilvl w:val="2"/>
          <w:numId w:val="1014"/>
        </w:numPr>
        <w:pStyle w:val="Compact"/>
      </w:pPr>
      <w:r>
        <w:t xml:space="preserve">Bloques de construcción abstractos</w:t>
      </w:r>
    </w:p>
    <w:p>
      <w:pPr>
        <w:numPr>
          <w:ilvl w:val="1"/>
          <w:numId w:val="1013"/>
        </w:numPr>
        <w:pStyle w:val="Compact"/>
      </w:pPr>
      <w:r>
        <w:t xml:space="preserve">Solución</w:t>
      </w:r>
    </w:p>
    <w:p>
      <w:pPr>
        <w:numPr>
          <w:ilvl w:val="2"/>
          <w:numId w:val="1015"/>
        </w:numPr>
        <w:pStyle w:val="Compact"/>
      </w:pPr>
      <w:r>
        <w:t xml:space="preserve">Bloques de construcción de solución</w:t>
      </w:r>
    </w:p>
    <w:p>
      <w:pPr>
        <w:numPr>
          <w:ilvl w:val="2"/>
          <w:numId w:val="1015"/>
        </w:numPr>
        <w:pStyle w:val="Compact"/>
      </w:pPr>
      <w:r>
        <w:t xml:space="preserve">Solicita diseño detallado (nivel 200, 300, 400 o 500) de los dominios de arquitectura: aplicaciones, datos, infraestructura y servicios</w:t>
      </w:r>
    </w:p>
    <w:p>
      <w:pPr>
        <w:numPr>
          <w:ilvl w:val="0"/>
          <w:numId w:val="1012"/>
        </w:numPr>
      </w:pPr>
      <w:r>
        <w:t xml:space="preserve">El Arquitecto FNA inicia los análisis mínimos</w:t>
      </w:r>
    </w:p>
    <w:p>
      <w:pPr>
        <w:numPr>
          <w:ilvl w:val="1"/>
          <w:numId w:val="1016"/>
        </w:numPr>
        <w:pStyle w:val="Compact"/>
      </w:pPr>
      <w:r>
        <w:t xml:space="preserve">Análisis de impacto</w:t>
      </w:r>
    </w:p>
    <w:p>
      <w:pPr>
        <w:numPr>
          <w:ilvl w:val="1"/>
          <w:numId w:val="1016"/>
        </w:numPr>
        <w:pStyle w:val="Compact"/>
      </w:pPr>
      <w:r>
        <w:t xml:space="preserve">de Complejidad</w:t>
      </w:r>
    </w:p>
    <w:p>
      <w:pPr>
        <w:numPr>
          <w:ilvl w:val="1"/>
          <w:numId w:val="1016"/>
        </w:numPr>
        <w:pStyle w:val="Compact"/>
      </w:pPr>
      <w:r>
        <w:t xml:space="preserve">y Costo / beneficio</w:t>
      </w:r>
    </w:p>
    <w:p>
      <w:pPr>
        <w:numPr>
          <w:ilvl w:val="0"/>
          <w:numId w:val="1012"/>
        </w:numPr>
      </w:pPr>
      <w:r>
        <w:t xml:space="preserve">El Arquitecto FNA (de la oficina de arquitectura) solicita al arquitecto de solución, sea de proveedor interno o externo, el inicio del Proceso ADM - fase de implementación y fase de gobierno</w:t>
      </w:r>
    </w:p>
    <w:p>
      <w:pPr>
        <w:numPr>
          <w:ilvl w:val="1"/>
          <w:numId w:val="1017"/>
        </w:numPr>
        <w:pStyle w:val="Compact"/>
      </w:pPr>
      <w:r>
        <w:t xml:space="preserve">El arquitecto de solución modela los bloques de solución</w:t>
      </w:r>
      <w:r>
        <w:t xml:space="preserve"> </w:t>
      </w:r>
      <w:r>
        <w:rPr>
          <w:rStyle w:val="Refdenotaalpie"/>
        </w:rPr>
        <w:footnoteReference w:id="100"/>
      </w:r>
    </w:p>
    <w:p>
      <w:pPr>
        <w:numPr>
          <w:ilvl w:val="0"/>
          <w:numId w:val="1012"/>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End w:id="101"/>
    <w:bookmarkStart w:id="10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030a27d0-423f-4129-a393-42daa0af6645"/>
    <w:p>
      <w:pPr>
        <w:pStyle w:val="CaptionedFigure"/>
      </w:pPr>
      <w:bookmarkStart w:id="105" w:name="fig:"/>
      <w:r>
        <w:drawing>
          <wp:inline>
            <wp:extent cx="5600700" cy="4460578"/>
            <wp:effectExtent b="0" l="0" r="0" t="0"/>
            <wp:docPr descr="Imagen 10: alt 2. Actividades y relaciones de los estados de un flujo de trabajo de la oficina de arquitectura con arreglo al proceso ADM de TOGAF. Flujo para la oficina de arquitectura en conjunto con proveedores del FNA." title="" id="103" name="Picture"/>
            <a:graphic>
              <a:graphicData uri="http://schemas.openxmlformats.org/drawingml/2006/picture">
                <pic:pic>
                  <pic:nvPicPr>
                    <pic:cNvPr descr="images/flujoADM-2.png" id="104" name="Picture"/>
                    <pic:cNvPicPr>
                      <a:picLocks noChangeArrowheads="1" noChangeAspect="1"/>
                    </pic:cNvPicPr>
                  </pic:nvPicPr>
                  <pic:blipFill>
                    <a:blip r:embed="rId102"/>
                    <a:stretch>
                      <a:fillRect/>
                    </a:stretch>
                  </pic:blipFill>
                  <pic:spPr bwMode="auto">
                    <a:xfrm>
                      <a:off x="0" y="0"/>
                      <a:ext cx="5600700" cy="4460578"/>
                    </a:xfrm>
                    <a:prstGeom prst="rect">
                      <a:avLst/>
                    </a:prstGeom>
                    <a:noFill/>
                    <a:ln w="9525">
                      <a:noFill/>
                      <a:headEnd/>
                      <a:tailEnd/>
                    </a:ln>
                  </pic:spPr>
                </pic:pic>
              </a:graphicData>
            </a:graphic>
          </wp:inline>
        </w:drawing>
      </w:r>
      <w:bookmarkEnd w:id="10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1.9c14e8b</w:t>
            </w:r>
            <w:r>
              <w:t xml:space="preserve"> </w:t>
            </w:r>
            <w:r>
              <w:t xml:space="preserve">del 23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06"/>
    <w:bookmarkEnd w:id="107"/>
    <w:bookmarkStart w:id="113"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Estos son, a saber:</w:t>
      </w:r>
    </w:p>
    <w:p>
      <w:pPr>
        <w:numPr>
          <w:ilvl w:val="0"/>
          <w:numId w:val="1018"/>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18"/>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18"/>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12"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1aad1077-bfa3-41d1-bf24-15e8c9b9bec0"/>
    <w:p>
      <w:pPr>
        <w:pStyle w:val="CaptionedFigure"/>
      </w:pPr>
      <w:bookmarkStart w:id="111" w:name="fig:"/>
      <w:r>
        <w:drawing>
          <wp:inline>
            <wp:extent cx="5600700" cy="4089497"/>
            <wp:effectExtent b="0" l="0" r="0" t="0"/>
            <wp:docPr descr="Imagen 11: Funciones operativas de la Oficina de Arquitectura del FNA. Operaciones solicitadas a la oficina." title="" id="109" name="Picture"/>
            <a:graphic>
              <a:graphicData uri="http://schemas.openxmlformats.org/drawingml/2006/picture">
                <pic:pic>
                  <pic:nvPicPr>
                    <pic:cNvPr descr="images/funcionesof.png" id="110" name="Picture"/>
                    <pic:cNvPicPr>
                      <a:picLocks noChangeArrowheads="1" noChangeAspect="1"/>
                    </pic:cNvPicPr>
                  </pic:nvPicPr>
                  <pic:blipFill>
                    <a:blip r:embed="rId108"/>
                    <a:stretch>
                      <a:fillRect/>
                    </a:stretch>
                  </pic:blipFill>
                  <pic:spPr bwMode="auto">
                    <a:xfrm>
                      <a:off x="0" y="0"/>
                      <a:ext cx="5600700" cy="4089497"/>
                    </a:xfrm>
                    <a:prstGeom prst="rect">
                      <a:avLst/>
                    </a:prstGeom>
                    <a:noFill/>
                    <a:ln w="9525">
                      <a:noFill/>
                      <a:headEnd/>
                      <a:tailEnd/>
                    </a:ln>
                  </pic:spPr>
                </pic:pic>
              </a:graphicData>
            </a:graphic>
          </wp:inline>
        </w:drawing>
      </w:r>
      <w:bookmarkEnd w:id="111"/>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19"/>
        </w:numPr>
      </w:pPr>
      <w:r>
        <w:t xml:space="preserve">Centralizar. La funciónd 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19"/>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19"/>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12"/>
    <w:bookmarkEnd w:id="113"/>
    <w:bookmarkStart w:id="123" w:name="X0518fec7b45c7879917cf27723e9702132f2754"/>
    <w:p>
      <w:pPr>
        <w:pStyle w:val="Ttulo1"/>
      </w:pPr>
      <w:r>
        <w:t xml:space="preserve">Responsabilidades de la Oficina de Arquitectura</w:t>
      </w:r>
    </w:p>
    <w:p>
      <w:pPr>
        <w:pStyle w:val="FirstParagraph"/>
      </w:pPr>
      <w:r>
        <w:t xml:space="preserve">Las responsabilide que el gobierno del FNA debe exigir, y que la oficina de arquitectura del FNA debe realizar, son:</w:t>
      </w:r>
    </w:p>
    <w:p>
      <w:pPr>
        <w:numPr>
          <w:ilvl w:val="0"/>
          <w:numId w:val="1020"/>
        </w:numPr>
        <w:pStyle w:val="Compact"/>
      </w:pPr>
      <w:r>
        <w:t xml:space="preserve">RESPC01. Vigilancia de alineación negocio-arquitectura</w:t>
      </w:r>
    </w:p>
    <w:p>
      <w:pPr>
        <w:numPr>
          <w:ilvl w:val="0"/>
          <w:numId w:val="1020"/>
        </w:numPr>
        <w:pStyle w:val="Compact"/>
      </w:pPr>
      <w:r>
        <w:t xml:space="preserve">RESPC02. Equilibrio arquitectura y procesos SOA</w:t>
      </w:r>
    </w:p>
    <w:p>
      <w:pPr>
        <w:numPr>
          <w:ilvl w:val="0"/>
          <w:numId w:val="1020"/>
        </w:numPr>
        <w:pStyle w:val="Compact"/>
      </w:pPr>
      <w:r>
        <w:t xml:space="preserve">RESPC03. Supervisión de efectividad y factibilidad SOA</w:t>
      </w:r>
    </w:p>
    <w:p>
      <w:pPr>
        <w:numPr>
          <w:ilvl w:val="0"/>
          <w:numId w:val="1020"/>
        </w:numPr>
        <w:pStyle w:val="Compact"/>
      </w:pPr>
      <w:r>
        <w:t xml:space="preserve">RESPC04. Mejora de los índices de efectividad (madurez) SOA</w:t>
      </w:r>
    </w:p>
    <w:p>
      <w:pPr>
        <w:numPr>
          <w:ilvl w:val="0"/>
          <w:numId w:val="1020"/>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20464c43-36b0-4871-999b-9e0d8d8e91df"/>
    <w:p>
      <w:pPr>
        <w:pStyle w:val="CaptionedFigure"/>
      </w:pPr>
      <w:bookmarkStart w:id="117" w:name="fig:"/>
      <w:r>
        <w:drawing>
          <wp:inline>
            <wp:extent cx="5600700" cy="4402410"/>
            <wp:effectExtent b="0" l="0" r="0" t="0"/>
            <wp:docPr descr="Imagen 12: Funciones (responsabilidades) de la Oficina de Arquitectura del FNA. Gobierno SOA, v0.5." title="" id="115" name="Picture"/>
            <a:graphic>
              <a:graphicData uri="http://schemas.openxmlformats.org/drawingml/2006/picture">
                <pic:pic>
                  <pic:nvPicPr>
                    <pic:cNvPr descr="images/responsabilidadgob.png" id="116" name="Picture"/>
                    <pic:cNvPicPr>
                      <a:picLocks noChangeArrowheads="1" noChangeAspect="1"/>
                    </pic:cNvPicPr>
                  </pic:nvPicPr>
                  <pic:blipFill>
                    <a:blip r:embed="rId114"/>
                    <a:stretch>
                      <a:fillRect/>
                    </a:stretch>
                  </pic:blipFill>
                  <pic:spPr bwMode="auto">
                    <a:xfrm>
                      <a:off x="0" y="0"/>
                      <a:ext cx="5600700" cy="4402410"/>
                    </a:xfrm>
                    <a:prstGeom prst="rect">
                      <a:avLst/>
                    </a:prstGeom>
                    <a:noFill/>
                    <a:ln w="9525">
                      <a:noFill/>
                      <a:headEnd/>
                      <a:tailEnd/>
                    </a:ln>
                  </pic:spPr>
                </pic:pic>
              </a:graphicData>
            </a:graphic>
          </wp:inline>
        </w:drawing>
      </w:r>
      <w:bookmarkEnd w:id="117"/>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Start w:id="118" w:name="X9a4995a2dce7dd649f71e6943a0b2610c978b6f"/>
    <w:p>
      <w:pPr>
        <w:pStyle w:val="Ttulo2"/>
      </w:pPr>
      <w:r>
        <w:t xml:space="preserve">Vigilancia de alineación negocio-arquitectura</w:t>
      </w:r>
    </w:p>
    <w:bookmarkEnd w:id="118"/>
    <w:bookmarkStart w:id="119" w:name="equilibrio-arquitectura-y-procesos-soa"/>
    <w:p>
      <w:pPr>
        <w:pStyle w:val="Ttulo2"/>
      </w:pPr>
      <w:r>
        <w:t xml:space="preserve">Equilibrio arquitectura y procesos SOA</w:t>
      </w:r>
    </w:p>
    <w:bookmarkEnd w:id="119"/>
    <w:bookmarkStart w:id="120" w:name="X9e585d85ac198fb4fa428defd3c13593f667a0e"/>
    <w:p>
      <w:pPr>
        <w:pStyle w:val="Ttulo2"/>
      </w:pPr>
      <w:r>
        <w:t xml:space="preserve">Supervisión de efectividad y factibilidad SOA</w:t>
      </w:r>
    </w:p>
    <w:bookmarkEnd w:id="120"/>
    <w:bookmarkStart w:id="121" w:name="Xcf3fb5954575e9f517c883c7c5b2a445b0eccea"/>
    <w:p>
      <w:pPr>
        <w:pStyle w:val="Ttulo2"/>
      </w:pPr>
      <w:r>
        <w:t xml:space="preserve">Mejora de los índices de efectividad (madurez) SOA</w:t>
      </w:r>
    </w:p>
    <w:bookmarkEnd w:id="121"/>
    <w:bookmarkStart w:id="122" w:name="Xc1322487bb449403080f53ca37d5f186008267f"/>
    <w:p>
      <w:pPr>
        <w:pStyle w:val="Ttulo2"/>
      </w:pPr>
      <w:r>
        <w:t xml:space="preserve">Consideraciones para la puesta en marcha del gobierno SOA en el FNA</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1.9c14e8b del 23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22"/>
    <w:bookmarkEnd w:id="123"/>
    <w:bookmarkStart w:id="140"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0eaf54fa-2020-46db-8d30-dcfdafd75611"/>
    <w:p>
      <w:pPr>
        <w:pStyle w:val="CaptionedFigure"/>
      </w:pPr>
      <w:bookmarkStart w:id="127" w:name="fig:"/>
      <w:r>
        <w:drawing>
          <wp:inline>
            <wp:extent cx="5600700" cy="3900354"/>
            <wp:effectExtent b="0" l="0" r="0" t="0"/>
            <wp:docPr descr="Imagen 13: Actividades y relaciones del proceso principal de gobierno SOA para el FNA. Relación con capacidades y objetivos SOA necesarios para el FNA." title="" id="125" name="Picture"/>
            <a:graphic>
              <a:graphicData uri="http://schemas.openxmlformats.org/drawingml/2006/picture">
                <pic:pic>
                  <pic:nvPicPr>
                    <pic:cNvPr descr="images/proceso-gob.png" id="126" name="Picture"/>
                    <pic:cNvPicPr>
                      <a:picLocks noChangeArrowheads="1" noChangeAspect="1"/>
                    </pic:cNvPicPr>
                  </pic:nvPicPr>
                  <pic:blipFill>
                    <a:blip r:embed="rId124"/>
                    <a:stretch>
                      <a:fillRect/>
                    </a:stretch>
                  </pic:blipFill>
                  <pic:spPr bwMode="auto">
                    <a:xfrm>
                      <a:off x="0" y="0"/>
                      <a:ext cx="5600700" cy="3900354"/>
                    </a:xfrm>
                    <a:prstGeom prst="rect">
                      <a:avLst/>
                    </a:prstGeom>
                    <a:noFill/>
                    <a:ln w="9525">
                      <a:noFill/>
                      <a:headEnd/>
                      <a:tailEnd/>
                    </a:ln>
                  </pic:spPr>
                </pic:pic>
              </a:graphicData>
            </a:graphic>
          </wp:inline>
        </w:drawing>
      </w:r>
      <w:bookmarkEnd w:id="127"/>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28" w:name="gestión-del-cambio-e-impacto-incepción"/>
    <w:p>
      <w:pPr>
        <w:pStyle w:val="Ttulo2"/>
      </w:pPr>
      <w:r>
        <w:t xml:space="preserve">Gestión del Cambio e Impacto (incepción)</w:t>
      </w:r>
    </w:p>
    <w:p>
      <w:pPr>
        <w:pStyle w:val="FirstParagraph"/>
      </w:pPr>
      <w:r>
        <w:t xml:space="preserve">Es la definición del alcance del reajuste en la arquitectura, distinto a un cambio en una aplicación, sistema de información, datos o plataforma del FNA. el cambio a gestionar debe ser analizado desde la perspectiva de la arquitectura actual o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28"/>
    <w:bookmarkStart w:id="129"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bookmarkEnd w:id="129"/>
    <w:bookmarkStart w:id="130" w:name="X1dff0e18553c7791a6591965f046615447427d7"/>
    <w:p>
      <w:pPr>
        <w:pStyle w:val="Ttulo2"/>
      </w:pPr>
      <w:r>
        <w:t xml:space="preserve">Anexo 1. Susceptibilidades de Gobierno (PR01)</w:t>
      </w:r>
    </w:p>
    <w:p>
      <w:pPr>
        <w:numPr>
          <w:ilvl w:val="0"/>
          <w:numId w:val="1021"/>
        </w:numPr>
        <w:pStyle w:val="Compact"/>
      </w:pPr>
      <w:r>
        <w:t xml:space="preserve">Debilidad en la Completitud de los CU</w:t>
      </w:r>
    </w:p>
    <w:p>
      <w:pPr>
        <w:numPr>
          <w:ilvl w:val="0"/>
          <w:numId w:val="1021"/>
        </w:numPr>
        <w:pStyle w:val="Compact"/>
      </w:pPr>
      <w:r>
        <w:t xml:space="preserve">Herramientas y Métodos de QA relacionados con sistemas distribuidos y QA​</w:t>
      </w:r>
    </w:p>
    <w:p>
      <w:pPr>
        <w:numPr>
          <w:ilvl w:val="0"/>
          <w:numId w:val="1021"/>
        </w:numPr>
        <w:pStyle w:val="Compact"/>
      </w:pPr>
      <w:r>
        <w:t xml:space="preserve">Normalización y fortalecimiento de los ambientes QA ​</w:t>
      </w:r>
    </w:p>
    <w:p>
      <w:pPr>
        <w:numPr>
          <w:ilvl w:val="0"/>
          <w:numId w:val="1021"/>
        </w:numPr>
        <w:pStyle w:val="Compact"/>
      </w:pPr>
      <w:r>
        <w:t xml:space="preserve">Gestión del diseño y arquitecturas: categorización de complejidad​</w:t>
      </w:r>
    </w:p>
    <w:p>
      <w:pPr>
        <w:numPr>
          <w:ilvl w:val="0"/>
          <w:numId w:val="1021"/>
        </w:numPr>
        <w:pStyle w:val="Compact"/>
      </w:pPr>
      <w:r>
        <w:t xml:space="preserve">Correspondencia complejidad - diseño</w:t>
      </w:r>
    </w:p>
    <w:p>
      <w:pPr>
        <w:numPr>
          <w:ilvl w:val="0"/>
          <w:numId w:val="1021"/>
        </w:numPr>
        <w:pStyle w:val="Compact"/>
      </w:pPr>
      <w:r>
        <w:t xml:space="preserve">Débil (o inexistente) procedimiento de evaluación de inversión​</w:t>
      </w:r>
    </w:p>
    <w:p>
      <w:pPr>
        <w:numPr>
          <w:ilvl w:val="0"/>
          <w:numId w:val="1021"/>
        </w:numPr>
        <w:pStyle w:val="Compact"/>
      </w:pPr>
      <w:r>
        <w:t xml:space="preserve">Débil (o inexistente) formalidad para el cálculo de eficacia un inversión​ TI, proveedores</w:t>
      </w:r>
    </w:p>
    <w:p>
      <w:pPr>
        <w:numPr>
          <w:ilvl w:val="0"/>
          <w:numId w:val="1021"/>
        </w:numPr>
        <w:pStyle w:val="Compact"/>
      </w:pPr>
      <w:r>
        <w:t xml:space="preserve">Normnalizar registro de resultados de las entregas de proveedores​ (confiabilidad)</w:t>
      </w:r>
    </w:p>
    <w:p>
      <w:pPr>
        <w:numPr>
          <w:ilvl w:val="0"/>
          <w:numId w:val="1021"/>
        </w:numPr>
        <w:pStyle w:val="Compact"/>
      </w:pPr>
      <w:r>
        <w:t xml:space="preserve">Asignación de responsables de gestión de las inversiones de TI</w:t>
      </w:r>
    </w:p>
    <w:p>
      <w:pPr>
        <w:pStyle w:val="FirstParagraph"/>
      </w:pPr>
    </w:p>
    <w:bookmarkEnd w:id="130"/>
    <w:bookmarkStart w:id="131" w:name="Xd820393e281519037d62de8a6e14b7ac62e8045"/>
    <w:p>
      <w:pPr>
        <w:pStyle w:val="Ttulo2"/>
      </w:pPr>
      <w:r>
        <w:t xml:space="preserve">Anexo 2. Riesgos Técnicos FNA (E-Service, 2022)</w:t>
      </w:r>
    </w:p>
    <w:p>
      <w:pPr>
        <w:numPr>
          <w:ilvl w:val="0"/>
          <w:numId w:val="1022"/>
        </w:numPr>
        <w:pStyle w:val="Compact"/>
      </w:pPr>
      <w:r>
        <w:t xml:space="preserve">R01. Riesgo de agilidad limitada (ver imagen 1)</w:t>
      </w:r>
    </w:p>
    <w:p>
      <w:pPr>
        <w:numPr>
          <w:ilvl w:val="0"/>
          <w:numId w:val="1022"/>
        </w:numPr>
        <w:pStyle w:val="Compact"/>
      </w:pPr>
      <w:r>
        <w:t xml:space="preserve">R02. Riesgo de baja orquestación SOA (ver imagen 2a y 2b)</w:t>
      </w:r>
    </w:p>
    <w:p>
      <w:pPr>
        <w:numPr>
          <w:ilvl w:val="0"/>
          <w:numId w:val="1022"/>
        </w:numPr>
        <w:pStyle w:val="Compact"/>
      </w:pPr>
      <w:r>
        <w:t xml:space="preserve">R03. Riesgo de crecimiento de dependencias entre servicios SOA</w:t>
      </w:r>
    </w:p>
    <w:p>
      <w:pPr>
        <w:numPr>
          <w:ilvl w:val="0"/>
          <w:numId w:val="1022"/>
        </w:numPr>
        <w:pStyle w:val="Compact"/>
      </w:pPr>
      <w:r>
        <w:t xml:space="preserve">R04. Riesgo de crecimiento de adaptadores particulares –opuesto al estándar– (ver imagen 3)</w:t>
      </w:r>
    </w:p>
    <w:p>
      <w:pPr>
        <w:numPr>
          <w:ilvl w:val="0"/>
          <w:numId w:val="1022"/>
        </w:numPr>
        <w:pStyle w:val="Compact"/>
      </w:pPr>
      <w:r>
        <w:t xml:space="preserve">R05. Riesgo de baja reutilización de servicios SOA</w:t>
      </w:r>
    </w:p>
    <w:p>
      <w:pPr>
        <w:numPr>
          <w:ilvl w:val="0"/>
          <w:numId w:val="1022"/>
        </w:numPr>
        <w:pStyle w:val="Compact"/>
      </w:pPr>
      <w:r>
        <w:t xml:space="preserve">R06. Riesgo de permanencia de aplicaciones silos</w:t>
      </w:r>
    </w:p>
    <w:p>
      <w:pPr>
        <w:numPr>
          <w:ilvl w:val="0"/>
          <w:numId w:val="1022"/>
        </w:numPr>
        <w:pStyle w:val="Compact"/>
      </w:pPr>
      <w:r>
        <w:t xml:space="preserve">R07. Riesgo de falta de trazabilidad para la evolución e implementación de los servicios SOA</w:t>
      </w:r>
    </w:p>
    <w:bookmarkEnd w:id="131"/>
    <w:bookmarkStart w:id="136"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8f79e9c0-866e-4bcf-9be8-7bf7e0229f0e"/>
    <w:p>
      <w:pPr>
        <w:pStyle w:val="CaptionedFigure"/>
      </w:pPr>
      <w:bookmarkStart w:id="135" w:name="fig:"/>
      <w:r>
        <w:drawing>
          <wp:inline>
            <wp:extent cx="4406900" cy="5791200"/>
            <wp:effectExtent b="0" l="0" r="0" t="0"/>
            <wp:docPr descr="Imagen 14: TOGAF 9, Fase G, Implementation governance para la implementación de las capacidades de ejecución de hojas de ruta del FNA." title="" id="133" name="Picture"/>
            <a:graphic>
              <a:graphicData uri="http://schemas.openxmlformats.org/drawingml/2006/picture">
                <pic:pic>
                  <pic:nvPicPr>
                    <pic:cNvPr descr="images/adm.gif" id="134" name="Picture"/>
                    <pic:cNvPicPr>
                      <a:picLocks noChangeArrowheads="1" noChangeAspect="1"/>
                    </pic:cNvPicPr>
                  </pic:nvPicPr>
                  <pic:blipFill>
                    <a:blip r:embed="rId132"/>
                    <a:stretch>
                      <a:fillRect/>
                    </a:stretch>
                  </pic:blipFill>
                  <pic:spPr bwMode="auto">
                    <a:xfrm>
                      <a:off x="0" y="0"/>
                      <a:ext cx="4406900" cy="5791200"/>
                    </a:xfrm>
                    <a:prstGeom prst="rect">
                      <a:avLst/>
                    </a:prstGeom>
                    <a:noFill/>
                    <a:ln w="9525">
                      <a:noFill/>
                      <a:headEnd/>
                      <a:tailEnd/>
                    </a:ln>
                  </pic:spPr>
                </pic:pic>
              </a:graphicData>
            </a:graphic>
          </wp:inline>
        </w:drawing>
      </w:r>
      <w:bookmarkEnd w:id="135"/>
    </w:p>
    <w:p>
      <w:pPr>
        <w:pStyle w:val="ImageCaption"/>
      </w:pPr>
      <w:r>
        <w:t xml:space="preserve">Imagen 14: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36"/>
    <w:bookmarkStart w:id="139" w:name="X99591b604a3494c6910274ca6ad62f3fe7e80af"/>
    <w:p>
      <w:pPr>
        <w:pStyle w:val="Ttulo2"/>
      </w:pPr>
      <w:r>
        <w:t xml:space="preserve">Anexo.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37" w:name="especificaciones"/>
    <w:p>
      <w:pPr>
        <w:pStyle w:val="Ttulo3"/>
      </w:pPr>
      <w:r>
        <w:t xml:space="preserve">Especificaciones</w:t>
      </w:r>
    </w:p>
    <w:p>
      <w:pPr>
        <w:numPr>
          <w:ilvl w:val="0"/>
          <w:numId w:val="1023"/>
        </w:numPr>
        <w:pStyle w:val="Compact"/>
      </w:pPr>
      <w:r>
        <w:t xml:space="preserve">Tipo de contenido: texto</w:t>
      </w:r>
    </w:p>
    <w:p>
      <w:pPr>
        <w:numPr>
          <w:ilvl w:val="0"/>
          <w:numId w:val="1023"/>
        </w:numPr>
        <w:pStyle w:val="Compact"/>
      </w:pPr>
      <w:r>
        <w:t xml:space="preserve">Documento versionado</w:t>
      </w:r>
    </w:p>
    <w:p>
      <w:pPr>
        <w:numPr>
          <w:ilvl w:val="0"/>
          <w:numId w:val="1023"/>
        </w:numPr>
        <w:pStyle w:val="Compact"/>
      </w:pPr>
      <w:r>
        <w:t xml:space="preserve">Referencias a partes y elementos del modelo</w:t>
      </w:r>
    </w:p>
    <w:p>
      <w:pPr>
        <w:numPr>
          <w:ilvl w:val="0"/>
          <w:numId w:val="1023"/>
        </w:numPr>
        <w:pStyle w:val="Compact"/>
      </w:pPr>
      <w:r>
        <w:t xml:space="preserve">Referencias a imágenes y contenidos del repositorio de arquitectura FNA</w:t>
      </w:r>
    </w:p>
    <w:bookmarkEnd w:id="137"/>
    <w:bookmarkStart w:id="138" w:name="formato"/>
    <w:p>
      <w:pPr>
        <w:pStyle w:val="Ttulo3"/>
      </w:pPr>
      <w:r>
        <w:t xml:space="preserve">Formato</w:t>
      </w:r>
    </w:p>
    <w:p>
      <w:pPr>
        <w:pStyle w:val="FirstParagraph"/>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23 Jun 2023</w:t>
      </w:r>
    </w:p>
    <w:p>
      <w:pPr>
        <w:pStyle w:val="Textodebloque"/>
      </w:pPr>
      <w:r>
        <w:rPr>
          <w:bCs/>
          <w:b/>
        </w:rPr>
        <w:t xml:space="preserve">Versión</w:t>
      </w:r>
      <w:r>
        <w:t xml:space="preserve"> </w:t>
      </w:r>
      <w:r>
        <w:t xml:space="preserve">1.9c14e8b</w:t>
      </w:r>
    </w:p>
    <w:p>
      <w:pPr>
        <w:pStyle w:val="FirstParagraph"/>
      </w:pPr>
    </w:p>
    <w:bookmarkEnd w:id="138"/>
    <w:bookmarkEnd w:id="139"/>
    <w:bookmarkEnd w:id="140"/>
    <w:bookmarkStart w:id="148"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41"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41"/>
    <w:bookmarkStart w:id="142" w:name="contenidos-1"/>
    <w:p>
      <w:pPr>
        <w:pStyle w:val="Ttulo2"/>
      </w:pPr>
      <w:r>
        <w:t xml:space="preserve">Contenidos</w:t>
      </w:r>
    </w:p>
    <w:p>
      <w:pPr>
        <w:numPr>
          <w:ilvl w:val="0"/>
          <w:numId w:val="1024"/>
        </w:numPr>
        <w:pStyle w:val="Compact"/>
      </w:pPr>
      <w:r>
        <w:t xml:space="preserve">Modelo operativo del Comité de Gobierno de Arquitecturas del FNA: ámbitos y alcances del comité</w:t>
      </w:r>
    </w:p>
    <w:p>
      <w:pPr>
        <w:numPr>
          <w:ilvl w:val="0"/>
          <w:numId w:val="1024"/>
        </w:numPr>
        <w:pStyle w:val="Compact"/>
      </w:pPr>
      <w:r>
        <w:t xml:space="preserve">Consideraciones para la puesta en marcha de la bitácora de decisiones de arquitectura</w:t>
      </w:r>
    </w:p>
    <w:p>
      <w:pPr>
        <w:numPr>
          <w:ilvl w:val="0"/>
          <w:numId w:val="1024"/>
        </w:numPr>
        <w:pStyle w:val="Compact"/>
      </w:pPr>
      <w:r>
        <w:t xml:space="preserve">Respositorio y gestión de los requerimientos de arquitectura del FNA (flexibilidad, confiabilidad, rendimiento, mantenibilidad)</w:t>
      </w:r>
    </w:p>
    <w:p>
      <w:pPr>
        <w:numPr>
          <w:ilvl w:val="0"/>
          <w:numId w:val="1024"/>
        </w:numPr>
        <w:pStyle w:val="Compact"/>
      </w:pPr>
      <w:r>
        <w:t xml:space="preserve">Métodos de evaluación de arquitecturas para el FNA</w:t>
      </w:r>
    </w:p>
    <w:p>
      <w:pPr>
        <w:pStyle w:val="FirstParagraph"/>
      </w:pPr>
    </w:p>
    <w:bookmarkEnd w:id="142"/>
    <w:bookmarkStart w:id="143" w:name="criterios-de-aceptación-1"/>
    <w:p>
      <w:pPr>
        <w:pStyle w:val="Ttulo2"/>
      </w:pPr>
      <w:r>
        <w:t xml:space="preserve">Criterios de Aceptación</w:t>
      </w:r>
    </w:p>
    <w:p>
      <w:pPr>
        <w:numPr>
          <w:ilvl w:val="0"/>
          <w:numId w:val="1025"/>
        </w:numPr>
        <w:pStyle w:val="Compact"/>
      </w:pPr>
      <w:r>
        <w:t xml:space="preserve">Especificaciones de la bitácora de decisiones de arquitectura</w:t>
      </w:r>
    </w:p>
    <w:p>
      <w:pPr>
        <w:numPr>
          <w:ilvl w:val="0"/>
          <w:numId w:val="1025"/>
        </w:numPr>
        <w:pStyle w:val="Compact"/>
      </w:pPr>
      <w:r>
        <w:t xml:space="preserve">Especificaciones de funcionamiento del Comité de Gobierno de Arquitecturas del FNA</w:t>
      </w:r>
    </w:p>
    <w:p>
      <w:pPr>
        <w:numPr>
          <w:ilvl w:val="0"/>
          <w:numId w:val="1025"/>
        </w:numPr>
        <w:pStyle w:val="Compact"/>
      </w:pPr>
      <w:r>
        <w:t xml:space="preserve">Esquema de comunicación y publicación de cambios a las arquitecturas del FNA</w:t>
      </w:r>
    </w:p>
    <w:p>
      <w:pPr>
        <w:pStyle w:val="FirstParagraph"/>
      </w:pPr>
    </w:p>
    <w:bookmarkEnd w:id="143"/>
    <w:bookmarkStart w:id="147" w:name="modelo-de-implementación-del-pry01-1"/>
    <w:p>
      <w:pPr>
        <w:pStyle w:val="Ttulo2"/>
      </w:pPr>
      <w:r>
        <w:t xml:space="preserve">Modelo de Implementación del PRY01</w:t>
      </w:r>
    </w:p>
    <w:bookmarkStart w:id="0" w:name="fig:a5bb90dd-013c-41dd-9d05-9f05245e6222"/>
    <w:p>
      <w:pPr>
        <w:pStyle w:val="CaptionedFigure"/>
      </w:pPr>
      <w:bookmarkStart w:id="146" w:name="fig:"/>
      <w:r>
        <w:drawing>
          <wp:inline>
            <wp:extent cx="5600700" cy="4499951"/>
            <wp:effectExtent b="0" l="0" r="0" t="0"/>
            <wp:docPr descr="Imagen 15: Plan de Implementación del Proyecto Hoja de Ruta E-Service FNA, 2023. Abril 2023 a Agosto 2023" title="" id="144" name="Picture"/>
            <a:graphic>
              <a:graphicData uri="http://schemas.openxmlformats.org/drawingml/2006/picture">
                <pic:pic>
                  <pic:nvPicPr>
                    <pic:cNvPr descr="images/pry1gobierno.jpg" id="145"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46"/>
    </w:p>
    <w:p>
      <w:pPr>
        <w:pStyle w:val="ImageCaption"/>
      </w:pPr>
      <w:r>
        <w:t xml:space="preserve">Imagen 15: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Modelo operativo del Comité de Gobierno</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1.9c14e8b</w:t>
            </w:r>
            <w:r>
              <w:t xml:space="preserve"> </w:t>
            </w:r>
            <w:r>
              <w:t xml:space="preserve">del 23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7"/>
    <w:bookmarkEnd w:id="148"/>
    <w:bookmarkStart w:id="159" w:name="el-comité-de-arquitectura-del-fna"/>
    <w:p>
      <w:pPr>
        <w:pStyle w:val="Ttulo1"/>
      </w:pPr>
      <w:r>
        <w:t xml:space="preserve">El Comité de Arquitectura del FNA</w:t>
      </w:r>
    </w:p>
    <w:p>
      <w:pPr>
        <w:pStyle w:val="FirstParagraph"/>
      </w:pPr>
      <w:r>
        <w:t xml:space="preserve">Otro de los instrumentos en donde se materializa el gobierno SOA, objeto de este proyecto, es el comité de revisión y de trabajos de arquitectura. El comité de arquitectura contribuye al gobierno en el sentido de que abarca aspectos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64421fb6-d144-4dd2-9c4d-3e93497d1374"/>
    <w:p>
      <w:pPr>
        <w:pStyle w:val="CaptionedFigure"/>
      </w:pPr>
      <w:bookmarkStart w:id="152" w:name="fig:"/>
      <w:r>
        <w:drawing>
          <wp:inline>
            <wp:extent cx="5600700" cy="8039247"/>
            <wp:effectExtent b="0" l="0" r="0" t="0"/>
            <wp:docPr descr="Imagen 16: Comité de Arquitectura en colaboración y cumplimiento con otras áreas del FNA." title="" id="150" name="Picture"/>
            <a:graphic>
              <a:graphicData uri="http://schemas.openxmlformats.org/drawingml/2006/picture">
                <pic:pic>
                  <pic:nvPicPr>
                    <pic:cNvPr descr="images/comiteModelo.png" id="151" name="Picture"/>
                    <pic:cNvPicPr>
                      <a:picLocks noChangeArrowheads="1" noChangeAspect="1"/>
                    </pic:cNvPicPr>
                  </pic:nvPicPr>
                  <pic:blipFill>
                    <a:blip r:embed="rId149"/>
                    <a:stretch>
                      <a:fillRect/>
                    </a:stretch>
                  </pic:blipFill>
                  <pic:spPr bwMode="auto">
                    <a:xfrm>
                      <a:off x="0" y="0"/>
                      <a:ext cx="5600700" cy="8039247"/>
                    </a:xfrm>
                    <a:prstGeom prst="rect">
                      <a:avLst/>
                    </a:prstGeom>
                    <a:noFill/>
                    <a:ln w="9525">
                      <a:noFill/>
                      <a:headEnd/>
                      <a:tailEnd/>
                    </a:ln>
                  </pic:spPr>
                </pic:pic>
              </a:graphicData>
            </a:graphic>
          </wp:inline>
        </w:drawing>
      </w:r>
      <w:bookmarkEnd w:id="152"/>
    </w:p>
    <w:p>
      <w:pPr>
        <w:pStyle w:val="ImageCaption"/>
      </w:pPr>
      <w:r>
        <w:t xml:space="preserve">Imagen 16: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Start w:id="153"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53"/>
    <w:bookmarkStart w:id="154"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6"/>
        </w:numPr>
        <w:pStyle w:val="Compact"/>
      </w:pPr>
      <w:r>
        <w:t xml:space="preserve">Guiar y priorización los esfuerzos de la oficina de arquitectura</w:t>
      </w:r>
    </w:p>
    <w:p>
      <w:pPr>
        <w:numPr>
          <w:ilvl w:val="0"/>
          <w:numId w:val="1026"/>
        </w:numPr>
        <w:pStyle w:val="Compact"/>
      </w:pPr>
      <w:r>
        <w:t xml:space="preserve">Ejercitar los roles y responsabilidades del gobierno SOA del FNA, y respaldar su supervisión y la rendición de cuentas de la oficina de arquitectura</w:t>
      </w:r>
    </w:p>
    <w:p>
      <w:pPr>
        <w:numPr>
          <w:ilvl w:val="0"/>
          <w:numId w:val="1026"/>
        </w:numPr>
        <w:pStyle w:val="Compact"/>
      </w:pPr>
      <w:r>
        <w:t xml:space="preserve">Efectivizar el proceso de toma de decisiones sobre los trabajos de arquitectura</w:t>
      </w:r>
    </w:p>
    <w:p>
      <w:pPr>
        <w:numPr>
          <w:ilvl w:val="0"/>
          <w:numId w:val="1026"/>
        </w:numPr>
        <w:pStyle w:val="Compact"/>
      </w:pPr>
      <w:r>
        <w:t xml:space="preserve">Verificar la aplicación de los métodos (procedimientos normales) de arquitectura del FNA y del gobierno SOA del FNA</w:t>
      </w:r>
    </w:p>
    <w:p>
      <w:pPr>
        <w:numPr>
          <w:ilvl w:val="0"/>
          <w:numId w:val="1026"/>
        </w:numPr>
        <w:pStyle w:val="Compact"/>
      </w:pPr>
      <w:r>
        <w:t xml:space="preserve">Fomentar el uso de herramientas de publicación automatizable por audiencia de los puntos de vista de los trabajos de arquitectura</w:t>
      </w:r>
      <w:r>
        <w:t xml:space="preserve"> </w:t>
      </w:r>
      <w:r>
        <w:t xml:space="preserve">El valor empresarial ampliado y elevado de la arquitectura en toda la empresa</w:t>
      </w:r>
    </w:p>
    <w:p>
      <w:pPr>
        <w:numPr>
          <w:ilvl w:val="0"/>
          <w:numId w:val="1026"/>
        </w:numPr>
        <w:pStyle w:val="Compact"/>
      </w:pPr>
      <w:r>
        <w:t xml:space="preserve">Procurar la visibilidad de las áreas del FNA del trabajo de la oficina de arquitectura</w:t>
      </w:r>
    </w:p>
    <w:p>
      <w:pPr>
        <w:pStyle w:val="FirstParagraph"/>
      </w:pPr>
    </w:p>
    <w:bookmarkEnd w:id="154"/>
    <w:bookmarkStart w:id="158"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55"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55"/>
    <w:bookmarkStart w:id="156"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56"/>
    <w:bookmarkStart w:id="157"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1.9c14e8b</w:t>
            </w:r>
            <w:r>
              <w:t xml:space="preserve"> </w:t>
            </w:r>
            <w:r>
              <w:t xml:space="preserve">del 23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57"/>
    <w:bookmarkEnd w:id="158"/>
    <w:bookmarkEnd w:id="159"/>
    <w:bookmarkStart w:id="164"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63" w:name="consideraciones-para-operar-la-bitácora"/>
    <w:p>
      <w:pPr>
        <w:pStyle w:val="Ttulo2"/>
      </w:pPr>
      <w:r>
        <w:t xml:space="preserve">Consideraciones para Operar la Bitácora</w:t>
      </w:r>
    </w:p>
    <w:bookmarkStart w:id="160" w:name="X00bf8f125ad89a9be43987af53a845fc90e5b86"/>
    <w:p>
      <w:pPr>
        <w:pStyle w:val="Ttulo3"/>
      </w:pPr>
      <w:r>
        <w:t xml:space="preserve">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60"/>
    <w:bookmarkStart w:id="161" w:name="especificaciones-1"/>
    <w:p>
      <w:pPr>
        <w:pStyle w:val="Ttulo3"/>
      </w:pPr>
      <w:r>
        <w:t xml:space="preserve">Especificaciones</w:t>
      </w:r>
    </w:p>
    <w:p>
      <w:pPr>
        <w:numPr>
          <w:ilvl w:val="0"/>
          <w:numId w:val="1027"/>
        </w:numPr>
        <w:pStyle w:val="Compact"/>
      </w:pPr>
      <w:r>
        <w:t xml:space="preserve">Tipo de contenido: texto</w:t>
      </w:r>
    </w:p>
    <w:p>
      <w:pPr>
        <w:numPr>
          <w:ilvl w:val="0"/>
          <w:numId w:val="1027"/>
        </w:numPr>
        <w:pStyle w:val="Compact"/>
      </w:pPr>
      <w:r>
        <w:t xml:space="preserve">Documento versionado</w:t>
      </w:r>
    </w:p>
    <w:p>
      <w:pPr>
        <w:numPr>
          <w:ilvl w:val="0"/>
          <w:numId w:val="1027"/>
        </w:numPr>
        <w:pStyle w:val="Compact"/>
      </w:pPr>
      <w:r>
        <w:t xml:space="preserve">Referencias a partes y elementos del modelo</w:t>
      </w:r>
    </w:p>
    <w:p>
      <w:pPr>
        <w:numPr>
          <w:ilvl w:val="0"/>
          <w:numId w:val="1027"/>
        </w:numPr>
        <w:pStyle w:val="Compact"/>
      </w:pPr>
      <w:r>
        <w:t xml:space="preserve">Referencias a imágenes y contenidos del repositorio de arquitectura FNA</w:t>
      </w:r>
    </w:p>
    <w:bookmarkEnd w:id="161"/>
    <w:bookmarkStart w:id="162" w:name="formato-1"/>
    <w:p>
      <w:pPr>
        <w:pStyle w:val="Ttulo3"/>
      </w:pPr>
      <w:r>
        <w:t xml:space="preserve">Formato</w:t>
      </w:r>
    </w:p>
    <w:p>
      <w:pPr>
        <w:numPr>
          <w:ilvl w:val="0"/>
          <w:numId w:val="1028"/>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28"/>
        </w:numPr>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numPr>
          <w:ilvl w:val="0"/>
          <w:numId w:val="1028"/>
        </w:numPr>
      </w:pPr>
      <w:r>
        <w:t xml:space="preserve">Estado: Tenemos cuatro estados diferentes en los que un ADR puede ser:</w:t>
      </w:r>
    </w:p>
    <w:p>
      <w:pPr>
        <w:numPr>
          <w:ilvl w:val="1"/>
          <w:numId w:val="1029"/>
        </w:numPr>
        <w:pStyle w:val="Compact"/>
      </w:pPr>
      <w:r>
        <w:t xml:space="preserve">Abierto: Se ha registrado como un problema, es posible que aún falte información y aún no se ha iniciado la discusión.</w:t>
      </w:r>
    </w:p>
    <w:p>
      <w:pPr>
        <w:numPr>
          <w:ilvl w:val="1"/>
          <w:numId w:val="1029"/>
        </w:numPr>
        <w:pStyle w:val="Compact"/>
      </w:pPr>
      <w:r>
        <w:t xml:space="preserve">En Progreso: La discusión continúa actualmente.</w:t>
      </w:r>
    </w:p>
    <w:p>
      <w:pPr>
        <w:numPr>
          <w:ilvl w:val="1"/>
          <w:numId w:val="1029"/>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29"/>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28"/>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28"/>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28"/>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28"/>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28"/>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28"/>
        </w:numPr>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1.9c14e8b</w:t>
            </w:r>
            <w:r>
              <w:t xml:space="preserve"> </w:t>
            </w:r>
            <w:r>
              <w:t xml:space="preserve">del 23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2"/>
    <w:bookmarkEnd w:id="163"/>
    <w:bookmarkEnd w:id="164"/>
    <w:bookmarkStart w:id="165"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Para ello, los involucrados del FNA del comité podrán aplicar el siguiente método abrviado de evaluación de arquitectura (basado en ATAM, Open Group).</w:t>
      </w:r>
    </w:p>
    <w:bookmarkEnd w:id="165"/>
    <w:bookmarkStart w:id="170" w:name="referencias"/>
    <w:p>
      <w:pPr>
        <w:pStyle w:val="Ttulo1"/>
      </w:pPr>
      <w:r>
        <w:t xml:space="preserve">Referencias</w:t>
      </w:r>
    </w:p>
    <w:bookmarkStart w:id="166" w:name="refs"/>
    <w:p>
      <w:pPr>
        <w:pStyle w:val="Bibliography"/>
      </w:pPr>
      <w:r>
        <w:t xml:space="preserve">E-Service. Situación SOA Actual del FNA. Etapa I. (2022).</w:t>
      </w:r>
    </w:p>
    <w:bookmarkEnd w:id="166"/>
    <w:bookmarkStart w:id="167" w:name="refs"/>
    <w:p>
      <w:pPr>
        <w:pStyle w:val="Bibliography"/>
      </w:pPr>
      <w:r>
        <w:t xml:space="preserve">E-Service. Arquitectura de Referencia del FNA. Etapa II. (2023).</w:t>
      </w:r>
    </w:p>
    <w:bookmarkEnd w:id="167"/>
    <w:bookmarkStart w:id="168" w:name="refs"/>
    <w:p>
      <w:pPr>
        <w:pStyle w:val="Bibliography"/>
      </w:pPr>
      <w:r>
        <w:t xml:space="preserve">E-Service. Hoja de Ruta e Iniciativas. Etapa III. (2023).</w:t>
      </w:r>
    </w:p>
    <w:bookmarkEnd w:id="168"/>
    <w:bookmarkStart w:id="169" w:name="refs"/>
    <w:p>
      <w:pPr>
        <w:pStyle w:val="Bibliography"/>
      </w:pPr>
      <w:r>
        <w:t xml:space="preserve">TOGAF 9.1. Risk Management (2023). En https://pubs.opengroup.org/architecture/togaf9-doc/arch/chap27.html</w:t>
      </w:r>
    </w:p>
    <w:bookmarkEnd w:id="169"/>
    <w:bookmarkEnd w:id="17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6">
    <w:p>
      <w:pPr>
        <w:pStyle w:val="Textonotapie"/>
      </w:pPr>
      <w:r>
        <w:rPr>
          <w:rStyle w:val="Refdenotaalpie"/>
        </w:rPr>
        <w:footnoteRef/>
      </w:r>
      <w:r>
        <w:t xml:space="preserve"> </w:t>
      </w:r>
      <w:r>
        <w:t xml:space="preserve">Niveles de detalle de la ingeniería: https://editeca.com/lod-nivel-de-desarrollo/</w:t>
      </w:r>
    </w:p>
  </w:footnote>
  <w:footnote w:id="94">
    <w:p>
      <w:pPr>
        <w:pStyle w:val="Textonotapie"/>
      </w:pPr>
      <w:r>
        <w:rPr>
          <w:rStyle w:val="Refdenotaalpie"/>
        </w:rPr>
        <w:footnoteRef/>
      </w:r>
      <w:r>
        <w:t xml:space="preserve"> </w:t>
      </w:r>
      <w:r>
        <w:t xml:space="preserve">Niveles de detalle de la ingeniería: https://editeca.com/lod-nivel-de-desarrollo/</w:t>
      </w:r>
    </w:p>
  </w:footnote>
  <w:footnote w:id="100">
    <w:p>
      <w:pPr>
        <w:pStyle w:val="Textonotapie"/>
      </w:pPr>
      <w:r>
        <w:rPr>
          <w:rStyle w:val="Refdenotaalpie"/>
        </w:rPr>
        <w:footnoteRef/>
      </w:r>
      <w:r>
        <w:t xml:space="preserve"> </w:t>
      </w:r>
      <w:r>
        <w:t xml:space="preserve">ABB y CBB, TOGAF 9.1. Características generales. En https://pubs.opengroup.org/architecture/togaf9-doc/arch/chap33.html.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1" Target="media/rId61.jpg" /><Relationship Type="http://schemas.openxmlformats.org/officeDocument/2006/relationships/image" Id="rId132" Target="media/rId132.gif" /><Relationship Type="http://schemas.openxmlformats.org/officeDocument/2006/relationships/image" Id="rId85" Target="media/rId85.png" /><Relationship Type="http://schemas.openxmlformats.org/officeDocument/2006/relationships/image" Id="rId149" Target="media/rId149.png" /><Relationship Type="http://schemas.openxmlformats.org/officeDocument/2006/relationships/image" Id="rId95" Target="media/rId95.png" /><Relationship Type="http://schemas.openxmlformats.org/officeDocument/2006/relationships/image" Id="rId102" Target="media/rId102.png" /><Relationship Type="http://schemas.openxmlformats.org/officeDocument/2006/relationships/image" Id="rId108" Target="media/rId108.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0" Target="media/rId70.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124" Target="media/rId124.png" /><Relationship Type="http://schemas.openxmlformats.org/officeDocument/2006/relationships/image" Id="rId34" Target="media/rId34.jpg" /><Relationship Type="http://schemas.openxmlformats.org/officeDocument/2006/relationships/image" Id="rId114" Target="media/rId114.pn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9c14e8b3a15d70aaf5e7b988503cad82c34f919e/"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9c14e8b3a15d70aaf5e7b988503cad82c34f919e/"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2023-06-23T21:47:40Z</dcterms:created>
  <dcterms:modified xsi:type="dcterms:W3CDTF">2023-06-23T21:47:40Z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