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4.gif" ContentType="image/gif"/>
  <Override PartName="/word/media/rId91.png" ContentType="image/png"/>
  <Override PartName="/word/media/rId171.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46.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STEF@a68e6e7</w:t>
        </w:r>
      </w:hyperlink>
      <w:r>
        <w:t xml:space="preserve"> </w:t>
      </w:r>
      <w:r>
        <w:t xml:space="preserve">del August 10, 2023.</w:t>
      </w:r>
      <w:r>
        <w:t xml:space="preserve"> </w:t>
      </w:r>
    </w:p>
    <w:p>
      <w:pPr>
        <w:pStyle w:val="Textoindependiente"/>
      </w:pPr>
      <w:r>
        <w:t xml:space="preserve">   </w:t>
      </w:r>
      <w:r>
        <w:rPr>
          <w:bCs/>
          <w:b/>
        </w:rPr>
        <w:t xml:space="preserve">Versión</w:t>
      </w:r>
      <w:r>
        <w:t xml:space="preserve"> </w:t>
      </w:r>
      <w:r>
        <w:t xml:space="preserve">del producto 1.a68e6e7 de 10 Aug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1.a68e6e7 del 10 Aug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1.a68e6e7</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0c8cb6f5-026c-4b60-a1b6-9d3ef533dbc3"/>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1.a68e6e7</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continuación, presentamos el modelo base de gobierno de arquitecturas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fde55546-b5c2-48a3-be56-4133e911a5b6"/>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1.a68e6e7</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responsabilizarles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principales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los riegos técnicos por dominio, cada uno deberá: hacer seguimiento a la inversión tecnológica, la cual involucra a los proveedores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arquitectura).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Residual: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agregándole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desarrollados en los análisis de madurez realizado en E-Service, Fase 1. A saber:</w:t>
      </w:r>
    </w:p>
    <w:bookmarkStart w:id="0" w:name="fig:2f1638dc-1280-4934-8ef5-8c6a1fe2ae27"/>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arquitectura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operaciones de gestión de TI del FNA.</w:t>
      </w:r>
    </w:p>
    <w:bookmarkStart w:id="0" w:name="fig:429579f8-9053-454e-8656-90d317ce4850"/>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inviabilidad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presenta el conjunto de objetivos principales y secundarios que el Gobierno SOA del FNA, versión 0.5, debe perseguir y cumplir.</w:t>
      </w:r>
    </w:p>
    <w:bookmarkStart w:id="0" w:name="fig:c367aaee-f24e-47cb-b914-9d9857d699b7"/>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modelo de gobierno resultante.</w:t>
      </w:r>
    </w:p>
    <w:p>
      <w:pPr>
        <w:pStyle w:val="Textoindependiente"/>
      </w:pPr>
      <w:r>
        <w:t xml:space="preserve">La nueva versión del modelo de gobierno del FNA incorpora las problemáticas encontradas en el producto 1 de este proyecto.</w:t>
      </w:r>
    </w:p>
    <w:bookmarkStart w:id="0" w:name="fig:aad36dc2-05ca-496f-9c42-ed00cef16ab1"/>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 arquitectura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 mínimos que permiten el funcionamiento de esta versión.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inglés)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reúne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requeridos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o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Prerrequisitos para la ejecución del cambio (Visión)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requerida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arquitectura.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1.a68e6e7</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desarrollada más adelante en este producto, están relacionados directamente con los objetivos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8a65f2e5-e3c0-42d1-96fc-0b71625886cb"/>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perspectivas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actualizar el marco de trabajo de gobierno SOA que complemente el de TI del Fondo y que enuncie los procesos, procedimientos y responsabilidades de este con el fin de generar la autoridad y asistir en la toma de decisiones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1.a68e6e7</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ejecutivo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requerimientos de arquitectura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actualización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cumplir con la realización de las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1.a68e6e7</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susceptibilidad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involucrados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precisamente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significativa para el FNA, incorpora los tipos de análisis que se deben llevar a cabo, como exigencia del gobierno que estamos instalando.</w:t>
      </w:r>
    </w:p>
    <w:p>
      <w:pPr>
        <w:numPr>
          <w:ilvl w:val="0"/>
          <w:numId w:val="1014"/>
        </w:numPr>
      </w:pPr>
      <w:r>
        <w:t xml:space="preserve">El Arq. FNA recibe el requerimiento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Inversión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Solución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comienzo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corresponda una revisión interna, y de esta, se inicien varios flujos de implementación y colaboración de cambios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arquitectura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dispositivos de control que la Oficina de Arquitectura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de los cambios consiste en la verificación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ectura para el FNA. Los puntos de control van dirigidos principalmente a tratar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arquitectura para el FNA. Los puntos de control van dirigidos principalmente a tratar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1.a68e6e7</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generales que competen también a la oficina de arquitectura, están dirigidos a las problemáticas encontradas en la Fase I. Estos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operativo del que la oficina de arquitectura es el órgano ejecutivo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funciones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adaad939-6884-4800-9a2c-23ebbf23d217"/>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oficina. Ejemplo, las decisiones de arquitectura. Es deber del área de arquitectura del FNA centralizar la autoría y gestión de este tipo de información.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diagnosticar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entregas de los productos de trabajo, resultados y contenidos producidos por las funciones anteriores.</w:t>
      </w:r>
    </w:p>
    <w:p>
      <w:pPr>
        <w:pStyle w:val="Textoindependiente"/>
      </w:pPr>
    </w:p>
    <w:bookmarkEnd w:id="132"/>
    <w:bookmarkEnd w:id="133"/>
    <w:bookmarkEnd w:id="134"/>
    <w:bookmarkStart w:id="140"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responsabilidades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1b43a413-d5c7-4c8a-be14-f24fcebbc7b7"/>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End w:id="140"/>
    <w:bookmarkStart w:id="145" w:name="X67abd20a76571bb02b16b680bb41d18952f9118"/>
    <w:p>
      <w:pPr>
        <w:pStyle w:val="Ttulo1"/>
      </w:pPr>
      <w:r>
        <w:t xml:space="preserve">Roles y Responsabilidades de la Oficina de Arquitectura</w:t>
      </w:r>
    </w:p>
    <w:bookmarkStart w:id="144"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1"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1"/>
    <w:bookmarkEnd w:id="0"/>
    <w:p>
      <w:pPr>
        <w:pStyle w:val="Textoindependiente"/>
      </w:pPr>
    </w:p>
    <w:bookmarkStart w:id="0" w:name="tbl:ptexigidos-id"/>
    <w:bookmarkStart w:id="142"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2"/>
    <w:bookmarkEnd w:id="0"/>
    <w:bookmarkStart w:id="0" w:name="tbl:accexigidos-id"/>
    <w:bookmarkStart w:id="143"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3"/>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1.a68e6e7 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4"/>
    <w:bookmarkEnd w:id="145"/>
    <w:bookmarkStart w:id="162"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traídos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49" w:name="fig:proceso-gob.png"/>
      <w:r>
        <w:drawing>
          <wp:inline>
            <wp:extent cx="5600700" cy="3900354"/>
            <wp:effectExtent b="0" l="0" r="0" t="0"/>
            <wp:docPr descr="Imagen 14: Actividades y relaciones del proceso principal de gobierno SOA para el FNA. Relación con capacidades y objetivos SOA necesarios para el FNA." title="" id="147" name="Picture"/>
            <a:graphic>
              <a:graphicData uri="http://schemas.openxmlformats.org/drawingml/2006/picture">
                <pic:pic>
                  <pic:nvPicPr>
                    <pic:cNvPr descr="images/proceso-gob.png" id="148" name="Picture"/>
                    <pic:cNvPicPr>
                      <a:picLocks noChangeArrowheads="1" noChangeAspect="1"/>
                    </pic:cNvPicPr>
                  </pic:nvPicPr>
                  <pic:blipFill>
                    <a:blip r:embed="rId146"/>
                    <a:stretch>
                      <a:fillRect/>
                    </a:stretch>
                  </pic:blipFill>
                  <pic:spPr bwMode="auto">
                    <a:xfrm>
                      <a:off x="0" y="0"/>
                      <a:ext cx="5600700" cy="3900354"/>
                    </a:xfrm>
                    <a:prstGeom prst="rect">
                      <a:avLst/>
                    </a:prstGeom>
                    <a:noFill/>
                    <a:ln w="9525">
                      <a:noFill/>
                      <a:headEnd/>
                      <a:tailEnd/>
                    </a:ln>
                  </pic:spPr>
                </pic:pic>
              </a:graphicData>
            </a:graphic>
          </wp:inline>
        </w:drawing>
      </w:r>
      <w:bookmarkEnd w:id="149"/>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implementación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0"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por gestionar debe ser analizado desde la perspectiva de la arquitectura actual, o en su defecto desde la de la arquitectura candidata. En este sentido, el cambio es descrito en términos del qué, dónde, quién y cómo cambiar la arquitectura SOA del Fondo.</w:t>
      </w:r>
    </w:p>
    <w:p>
      <w:pPr>
        <w:pStyle w:val="Textoindependiente"/>
      </w:pPr>
      <w:r>
        <w:t xml:space="preserve">Una entrada razonable de este paso es la discusión mediante vistas de la potencialidad del cambio (dificultades y beneficios) y las preocupaciones de los interesados, gerentes y dueños de procesos / productos. Es necesario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una ficha de descripción del evento de cambio.</w:t>
      </w:r>
    </w:p>
    <w:bookmarkEnd w:id="150"/>
    <w:bookmarkStart w:id="151"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necesarios para aprobar el cambio de la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1.a68e6e7</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1"/>
    <w:bookmarkStart w:id="152" w:name="X1dff0e18553c7791a6591965f046615447427d7"/>
    <w:p>
      <w:pPr>
        <w:pStyle w:val="Ttulo2"/>
      </w:pPr>
      <w:r>
        <w:t xml:space="preserve">Anexo 1.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2"/>
    <w:bookmarkStart w:id="153" w:name="Xd820393e281519037d62de8a6e14b7ac62e8045"/>
    <w:p>
      <w:pPr>
        <w:pStyle w:val="Ttulo2"/>
      </w:pPr>
      <w:r>
        <w:t xml:space="preserve">Anexo 2.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3"/>
    <w:bookmarkStart w:id="158"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Implementación y (H) Gestión del Cambio de las Arquitecturas.</w:t>
      </w:r>
    </w:p>
    <w:bookmarkStart w:id="0" w:name="fig:adm.gif"/>
    <w:p>
      <w:pPr>
        <w:pStyle w:val="CaptionedFigure"/>
      </w:pPr>
      <w:bookmarkStart w:id="157" w:name="fig:adm.gif"/>
      <w:r>
        <w:drawing>
          <wp:inline>
            <wp:extent cx="4406900" cy="5791200"/>
            <wp:effectExtent b="0" l="0" r="0" t="0"/>
            <wp:docPr descr="Imagen 15: TOGAF 9, Fase G, Implementation governance para la implementación de las capacidades de ejecución de hojas de ruta del FNA." title="" id="155" name="Picture"/>
            <a:graphic>
              <a:graphicData uri="http://schemas.openxmlformats.org/drawingml/2006/picture">
                <pic:pic>
                  <pic:nvPicPr>
                    <pic:cNvPr descr="images/adm.gif" id="156" name="Picture"/>
                    <pic:cNvPicPr>
                      <a:picLocks noChangeArrowheads="1" noChangeAspect="1"/>
                    </pic:cNvPicPr>
                  </pic:nvPicPr>
                  <pic:blipFill>
                    <a:blip r:embed="rId154"/>
                    <a:stretch>
                      <a:fillRect/>
                    </a:stretch>
                  </pic:blipFill>
                  <pic:spPr bwMode="auto">
                    <a:xfrm>
                      <a:off x="0" y="0"/>
                      <a:ext cx="4406900" cy="5791200"/>
                    </a:xfrm>
                    <a:prstGeom prst="rect">
                      <a:avLst/>
                    </a:prstGeom>
                    <a:noFill/>
                    <a:ln w="9525">
                      <a:noFill/>
                      <a:headEnd/>
                      <a:tailEnd/>
                    </a:ln>
                  </pic:spPr>
                </pic:pic>
              </a:graphicData>
            </a:graphic>
          </wp:inline>
        </w:drawing>
      </w:r>
      <w:bookmarkEnd w:id="157"/>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8"/>
    <w:bookmarkStart w:id="161" w:name="X9edd50a24e08b02aff7eae884ad5dbd136aa397"/>
    <w:p>
      <w:pPr>
        <w:pStyle w:val="Ttulo2"/>
      </w:pPr>
      <w:r>
        <w:t xml:space="preserve">Anexo 4.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9"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59"/>
    <w:bookmarkStart w:id="160"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decisiones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10 Aug 2023</w:t>
      </w:r>
    </w:p>
    <w:p>
      <w:pPr>
        <w:pStyle w:val="Textodebloque"/>
      </w:pPr>
      <w:r>
        <w:rPr>
          <w:bCs/>
          <w:b/>
        </w:rPr>
        <w:t xml:space="preserve">Versión</w:t>
      </w:r>
      <w:r>
        <w:t xml:space="preserve"> </w:t>
      </w:r>
      <w:r>
        <w:t xml:space="preserve">1.a68e6e7</w:t>
      </w:r>
    </w:p>
    <w:p>
      <w:pPr>
        <w:pStyle w:val="FirstParagraph"/>
      </w:pPr>
    </w:p>
    <w:bookmarkEnd w:id="160"/>
    <w:bookmarkEnd w:id="161"/>
    <w:bookmarkEnd w:id="162"/>
    <w:bookmarkStart w:id="170"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arquitectura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3"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estas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arquitecturas del FNA.</w:t>
      </w:r>
    </w:p>
    <w:bookmarkEnd w:id="163"/>
    <w:bookmarkStart w:id="164"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4"/>
    <w:bookmarkStart w:id="165"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65"/>
    <w:bookmarkStart w:id="169" w:name="modelo-de-implementación-del-pry01-1"/>
    <w:p>
      <w:pPr>
        <w:pStyle w:val="Ttulo2"/>
      </w:pPr>
      <w:r>
        <w:t xml:space="preserve">Modelo de Implementación del PRY01</w:t>
      </w:r>
    </w:p>
    <w:bookmarkStart w:id="0" w:name="fig:dc1119d8-4b11-4352-b907-436832f593d6"/>
    <w:p>
      <w:pPr>
        <w:pStyle w:val="CaptionedFigure"/>
      </w:pPr>
      <w:bookmarkStart w:id="168" w:name="fig:"/>
      <w:r>
        <w:drawing>
          <wp:inline>
            <wp:extent cx="5600700" cy="4499951"/>
            <wp:effectExtent b="0" l="0" r="0" t="0"/>
            <wp:docPr descr="Imagen 16: Plan de Implementación del Proyecto Hoja de Ruta E-Service FNA, 2023. Abril 2023 a Agosto 2023" title="" id="166" name="Picture"/>
            <a:graphic>
              <a:graphicData uri="http://schemas.openxmlformats.org/drawingml/2006/picture">
                <pic:pic>
                  <pic:nvPicPr>
                    <pic:cNvPr descr="images/pry1gobierno.jpg" id="167"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8"/>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1.a68e6e7</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9"/>
    <w:bookmarkEnd w:id="170"/>
    <w:bookmarkStart w:id="182" w:name="el-comité-de-arquitectura-del-fna"/>
    <w:p>
      <w:pPr>
        <w:pStyle w:val="Ttulo1"/>
      </w:pPr>
      <w:r>
        <w:t xml:space="preserve">El Comité de Arquitectura del FNA</w:t>
      </w:r>
    </w:p>
    <w:bookmarkStart w:id="175"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de las arquitecturas más relevantes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En el siguiente diagrama resumimos la actuación y colaboración del modelo operativo del Comité de Arquitectura.</w:t>
      </w:r>
    </w:p>
    <w:bookmarkStart w:id="0" w:name="fig:comiteModelo.png"/>
    <w:p>
      <w:pPr>
        <w:pStyle w:val="CaptionedFigure"/>
      </w:pPr>
      <w:bookmarkStart w:id="174" w:name="fig:comiteModelo.png"/>
      <w:r>
        <w:drawing>
          <wp:inline>
            <wp:extent cx="5600700" cy="8039247"/>
            <wp:effectExtent b="0" l="0" r="0" t="0"/>
            <wp:docPr descr="Imagen 17: Comité de Arquitectura en colaboración y cumplimiento con otras áreas del FNA." title="" id="172" name="Picture"/>
            <a:graphic>
              <a:graphicData uri="http://schemas.openxmlformats.org/drawingml/2006/picture">
                <pic:pic>
                  <pic:nvPicPr>
                    <pic:cNvPr descr="images/comiteModelo.png" id="173" name="Picture"/>
                    <pic:cNvPicPr>
                      <a:picLocks noChangeArrowheads="1" noChangeAspect="1"/>
                    </pic:cNvPicPr>
                  </pic:nvPicPr>
                  <pic:blipFill>
                    <a:blip r:embed="rId171"/>
                    <a:stretch>
                      <a:fillRect/>
                    </a:stretch>
                  </pic:blipFill>
                  <pic:spPr bwMode="auto">
                    <a:xfrm>
                      <a:off x="0" y="0"/>
                      <a:ext cx="5600700" cy="8039247"/>
                    </a:xfrm>
                    <a:prstGeom prst="rect">
                      <a:avLst/>
                    </a:prstGeom>
                    <a:noFill/>
                    <a:ln w="9525">
                      <a:noFill/>
                      <a:headEnd/>
                      <a:tailEnd/>
                    </a:ln>
                  </pic:spPr>
                </pic:pic>
              </a:graphicData>
            </a:graphic>
          </wp:inline>
        </w:drawing>
      </w:r>
      <w:bookmarkEnd w:id="174"/>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de la posibilidad del Comité acceder a los modelos a los que evaluará. Así mismo, debe poder acceder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75"/>
    <w:bookmarkStart w:id="176"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6"/>
    <w:bookmarkStart w:id="177" w:name="X3f26b15a4e2950b9b075f37afafed1ade750ab8"/>
    <w:p>
      <w:pPr>
        <w:pStyle w:val="Ttulo2"/>
      </w:pPr>
      <w:r>
        <w:t xml:space="preserve">Objetivos Específicos del CAF (comité de arquitectura FNA)</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77"/>
    <w:bookmarkStart w:id="181" w:name="funciones-del-comité"/>
    <w:p>
      <w:pPr>
        <w:pStyle w:val="Ttulo2"/>
      </w:pPr>
      <w:r>
        <w:t xml:space="preserve">Funciones del Comité</w:t>
      </w:r>
    </w:p>
    <w:p>
      <w:pPr>
        <w:pStyle w:val="FirstParagraph"/>
      </w:pPr>
      <w:r>
        <w:t xml:space="preserve">El comité de arquitectura tiene tres funciones básicas. Es decir, el comité debe responder a:</w:t>
      </w:r>
    </w:p>
    <w:p>
      <w:pPr>
        <w:numPr>
          <w:ilvl w:val="0"/>
          <w:numId w:val="1028"/>
        </w:numPr>
        <w:pStyle w:val="Compact"/>
      </w:pPr>
      <w:r>
        <w:t xml:space="preserve">FUNC10. Dirimir (decisiones)</w:t>
      </w:r>
    </w:p>
    <w:p>
      <w:pPr>
        <w:numPr>
          <w:ilvl w:val="0"/>
          <w:numId w:val="1028"/>
        </w:numPr>
        <w:pStyle w:val="Compact"/>
      </w:pPr>
      <w:r>
        <w:t xml:space="preserve">FUNC11. Divulgar (resoluciones)</w:t>
      </w:r>
    </w:p>
    <w:p>
      <w:pPr>
        <w:numPr>
          <w:ilvl w:val="0"/>
          <w:numId w:val="1028"/>
        </w:numPr>
        <w:pStyle w:val="Compact"/>
      </w:pPr>
      <w:r>
        <w:t xml:space="preserve">FUNC13. Evaluación (arquitecturas)</w:t>
      </w:r>
    </w:p>
    <w:bookmarkStart w:id="178"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impactantes, están relacionadas con los análisis primarios de complejidad, impacto y costo/beneficio descritos en el modelo operativo de este gobierno, objeto del proyecto.</w:t>
      </w:r>
    </w:p>
    <w:bookmarkEnd w:id="178"/>
    <w:bookmarkStart w:id="179"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metodológicos que considere pertinentes que la empresa conozca.</w:t>
      </w:r>
    </w:p>
    <w:p>
      <w:pPr>
        <w:pStyle w:val="Textoindependiente"/>
      </w:pPr>
      <w:r>
        <w:t xml:space="preserve">Esta función debe con frecuencia periódica trimestral: cada 3 meses.</w:t>
      </w:r>
    </w:p>
    <w:bookmarkEnd w:id="179"/>
    <w:bookmarkStart w:id="180"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1.a68e6e7</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8"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7" w:name="consideraciones-para-operar-la-bitácora"/>
    <w:p>
      <w:pPr>
        <w:pStyle w:val="Ttulo2"/>
      </w:pPr>
      <w:r>
        <w:t xml:space="preserve">Consideraciones para Operar la Bitácora</w:t>
      </w:r>
    </w:p>
    <w:bookmarkStart w:id="183"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 (distinción de cambios).</w:t>
      </w:r>
    </w:p>
    <w:bookmarkEnd w:id="183"/>
    <w:bookmarkStart w:id="184"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reúne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4"/>
    <w:bookmarkStart w:id="185"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85"/>
    <w:bookmarkStart w:id="186"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al ingeniero encargado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1.a68e6e7</w:t>
            </w:r>
            <w:r>
              <w:t xml:space="preserve"> </w:t>
            </w:r>
            <w:r>
              <w:t xml:space="preserve">del 10 Aug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6"/>
    <w:bookmarkEnd w:id="187"/>
    <w:bookmarkEnd w:id="188"/>
    <w:bookmarkStart w:id="195"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9">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4"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arquitectura debe ser una versión simplificada y efectiva de los métodos existentes. Bajo esa condición, puede ser cualquiera de los métodos generalmente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90" w:name="escenarios"/>
    <w:p>
      <w:pPr>
        <w:pStyle w:val="Ttulo3"/>
      </w:pPr>
      <w:r>
        <w:t xml:space="preserve">Escenarios</w:t>
      </w:r>
    </w:p>
    <w:p>
      <w:pPr>
        <w:pStyle w:val="FirstParagraph"/>
      </w:pPr>
      <w:r>
        <w:t xml:space="preserve">Los escenarios de evaluación, en este contexto, son las operaciones más usadas por el negocio.</w:t>
      </w:r>
    </w:p>
    <w:bookmarkEnd w:id="190"/>
    <w:bookmarkStart w:id="193"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91"/>
      </w:r>
    </w:p>
    <w:p>
      <w:r>
        <w:br w:type="page"/>
      </w:r>
    </w:p>
    <w:bookmarkEnd w:id="193"/>
    <w:bookmarkEnd w:id="194"/>
    <w:bookmarkEnd w:id="195"/>
    <w:bookmarkStart w:id="200" w:name="referencias"/>
    <w:p>
      <w:pPr>
        <w:pStyle w:val="Ttulo1"/>
      </w:pPr>
      <w:r>
        <w:t xml:space="preserve">Referencias</w:t>
      </w:r>
    </w:p>
    <w:bookmarkStart w:id="196" w:name="refs"/>
    <w:p>
      <w:pPr>
        <w:pStyle w:val="Bibliography"/>
      </w:pPr>
      <w:r>
        <w:t xml:space="preserve">E-Service. Situación SOA Actual del FNA. Etapa I. (2022).</w:t>
      </w:r>
    </w:p>
    <w:bookmarkEnd w:id="196"/>
    <w:bookmarkStart w:id="197" w:name="refs"/>
    <w:p>
      <w:pPr>
        <w:pStyle w:val="Bibliography"/>
      </w:pPr>
      <w:r>
        <w:t xml:space="preserve">E-Service. Arquitectura de Referencia del FNA. Etapa II. (2023).</w:t>
      </w:r>
    </w:p>
    <w:bookmarkEnd w:id="197"/>
    <w:bookmarkStart w:id="198" w:name="refs"/>
    <w:p>
      <w:pPr>
        <w:pStyle w:val="Bibliography"/>
      </w:pPr>
      <w:r>
        <w:t xml:space="preserve">E-Service. Hoja de Ruta e Iniciativas. Etapa III. (2023).</w:t>
      </w:r>
    </w:p>
    <w:bookmarkEnd w:id="198"/>
    <w:bookmarkStart w:id="199" w:name="refs"/>
    <w:p>
      <w:pPr>
        <w:pStyle w:val="Bibliography"/>
      </w:pPr>
      <w:r>
        <w:t xml:space="preserve">TOGAF 9.1. Risk Management (2023). En https://pubs.opengroup.org/architecture/togaf9-doc/arch/chap27.html</w:t>
      </w:r>
    </w:p>
    <w:bookmarkEnd w:id="199"/>
    <w:bookmarkEnd w:id="20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1">
    <w:p>
      <w:pPr>
        <w:pStyle w:val="Textonotapie"/>
      </w:pPr>
      <w:r>
        <w:rPr>
          <w:rStyle w:val="Refdenotaalpie"/>
        </w:rPr>
        <w:footnoteRef/>
      </w:r>
      <w:r>
        <w:t xml:space="preserve"> </w:t>
      </w:r>
      <w:hyperlink r:id="rId192">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4" Target="media/rId154.gif" /><Relationship Type="http://schemas.openxmlformats.org/officeDocument/2006/relationships/image" Id="rId91" Target="media/rId91.png" /><Relationship Type="http://schemas.openxmlformats.org/officeDocument/2006/relationships/image" Id="rId171" Target="media/rId171.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46" Target="media/rId146.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a68e6e7e46e9ee1b612d9260d0a0e8fbc76110a4/"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9"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a68e6e7e46e9ee1b612d9260d0a0e8fbc76110a4/" TargetMode="External" /><Relationship Type="http://schemas.openxmlformats.org/officeDocument/2006/relationships/hyperlink" Id="rId192"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2023-08-10T21:28:33Z</dcterms:created>
  <dcterms:modified xsi:type="dcterms:W3CDTF">2023-08-10T21:28:33Z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2023-08-10</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