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jpg" ContentType="image/jpeg"/>
  <Override PartName="/word/media/rId98.gif" ContentType="image/gif"/>
  <Override PartName="/word/media/rId90.png" ContentType="image/png"/>
  <Override PartName="/word/media/rId105.png" ContentType="image/png"/>
  <Override PartName="/word/media/rId110.png" ContentType="image/png"/>
  <Override PartName="/word/media/rId58.png" ContentType="image/png"/>
  <Override PartName="/word/media/rId85.png" ContentType="image/png"/>
  <Override PartName="/word/media/rId79.png" ContentType="image/png"/>
  <Override PartName="/word/media/rId75.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STEF@b3bba4e</w:t>
        </w:r>
      </w:hyperlink>
      <w:r>
        <w:t xml:space="preserve"> </w:t>
      </w:r>
      <w:r>
        <w:t xml:space="preserve">del June 19, 2023.</w:t>
      </w:r>
      <w:r>
        <w:t xml:space="preserve"> </w:t>
      </w:r>
    </w:p>
    <w:p>
      <w:pPr>
        <w:pStyle w:val="Textoindependiente"/>
      </w:pPr>
      <w:r>
        <w:t xml:space="preserve">   </w:t>
      </w:r>
      <w:r>
        <w:rPr>
          <w:bCs/>
          <w:b/>
        </w:rPr>
        <w:t xml:space="preserve">Versión</w:t>
      </w:r>
      <w:r>
        <w:t xml:space="preserve"> </w:t>
      </w:r>
      <w:r>
        <w:t xml:space="preserve">del producto 1.b3bba4e de 19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1.b3bba4e del 19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Jun 2023</w:t>
      </w:r>
    </w:p>
    <w:p>
      <w:pPr>
        <w:pStyle w:val="Textodebloque"/>
      </w:pPr>
      <w:r>
        <w:rPr>
          <w:bCs/>
          <w:b/>
        </w:rPr>
        <w:t xml:space="preserve">Versión</w:t>
      </w:r>
      <w:r>
        <w:t xml:space="preserve"> </w:t>
      </w:r>
      <w:r>
        <w:t xml:space="preserve">1.b3bba4e</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ad6a93a4-13fa-4145-9657-0af062d26994"/>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3c16202-f3b3-49e5-a266-155641cf74da"/>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d3afd03-a101-41c4-99eb-0c25e08a9e17"/>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103" w:name="X32fbb2a674513319da783bb6130d3a2662235fe"/>
    <w:p>
      <w:pPr>
        <w:pStyle w:val="Ttulo1"/>
      </w:pPr>
      <w:r>
        <w:t xml:space="preserve">Definición de Objetivos y Funciones del Gobierno SOA</w:t>
      </w:r>
    </w:p>
    <w:p>
      <w:pPr>
        <w:pStyle w:val="FirstParagraph"/>
      </w:pPr>
      <w:r>
        <w:t xml:space="preserve">Los objetivos y funciones que vamos a definir para el gobierno SOA del FNA están dirigidos a las problemáticas encontradas en la Fase I, estos son,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95" w:name="funciones-del-gobierno-soa-del-fna"/>
    <w:p>
      <w:pPr>
        <w:pStyle w:val="Ttulo2"/>
      </w:pPr>
      <w:r>
        <w:t xml:space="preserve">Funciones del Gobierno SOA del FNA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9a38857f-da53-4218-b1d2-c4fc7d652e7d"/>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5"/>
    <w:bookmarkStart w:id="7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9" w:name="fig:objetivos-id"/>
      <w:r>
        <w:drawing>
          <wp:inline>
            <wp:extent cx="5600700" cy="3426588"/>
            <wp:effectExtent b="0" l="0" r="0" t="0"/>
            <wp:docPr descr="Imagen 5: Objetivos principal y específicos del Gobierno SOA del FNA, versión 0.5." title="" id="67" name="Picture"/>
            <a:graphic>
              <a:graphicData uri="http://schemas.openxmlformats.org/drawingml/2006/picture">
                <pic:pic>
                  <pic:nvPicPr>
                    <pic:cNvPr descr="images/GobiernoSOA.3n1.jpg" id="68" name="Picture"/>
                    <pic:cNvPicPr>
                      <a:picLocks noChangeArrowheads="1" noChangeAspect="1"/>
                    </pic:cNvPicPr>
                  </pic:nvPicPr>
                  <pic:blipFill>
                    <a:blip r:embed="rId66"/>
                    <a:stretch>
                      <a:fillRect/>
                    </a:stretch>
                  </pic:blipFill>
                  <pic:spPr bwMode="auto">
                    <a:xfrm>
                      <a:off x="0" y="0"/>
                      <a:ext cx="5600700" cy="3426588"/>
                    </a:xfrm>
                    <a:prstGeom prst="rect">
                      <a:avLst/>
                    </a:prstGeom>
                    <a:noFill/>
                    <a:ln w="9525">
                      <a:noFill/>
                      <a:headEnd/>
                      <a:tailEnd/>
                    </a:ln>
                  </pic:spPr>
                </pic:pic>
              </a:graphicData>
            </a:graphic>
          </wp:inline>
        </w:drawing>
      </w:r>
      <w:bookmarkEnd w:id="69"/>
    </w:p>
    <w:p>
      <w:pPr>
        <w:pStyle w:val="ImageCaption"/>
      </w:pPr>
      <w:r>
        <w:t xml:space="preserve">Imagen 5: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0"/>
    <w:bookmarkStart w:id="84" w:name="objetivos-específicos-del-gobierno"/>
    <w:p>
      <w:pPr>
        <w:pStyle w:val="Ttulo3"/>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Style w:val="Compact"/>
      </w:pPr>
      <w:r>
        <w:t xml:space="preserve">G-OBJ1. Vigilancia del riesgo tecnológico</w:t>
      </w:r>
    </w:p>
    <w:p>
      <w:pPr>
        <w:numPr>
          <w:ilvl w:val="0"/>
          <w:numId w:val="1006"/>
        </w:numPr>
        <w:pStyle w:val="Compact"/>
      </w:pPr>
      <w:r>
        <w:t xml:space="preserve">G-OBJ2. Vigilar el crecimiento de la complejidad y el impacto de los nuevos cambios en la arquitectura SOA del FNA</w:t>
      </w:r>
    </w:p>
    <w:p>
      <w:pPr>
        <w:numPr>
          <w:ilvl w:val="0"/>
          <w:numId w:val="1006"/>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5</w:t>
        </w:r>
      </w:hyperlink>
      <w:r>
        <w:t xml:space="preserve">. A continuación trataremos detalles de cada objetivo específico.</w:t>
      </w:r>
    </w:p>
    <w:bookmarkStart w:id="7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7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72"/>
    <w:bookmarkEnd w:id="73"/>
    <w:bookmarkStart w:id="74" w:name="X02aa4bbda48fdd5ed710b91b8bfc8b6cb34e0c9"/>
    <w:p>
      <w:pPr>
        <w:pStyle w:val="Ttulo4"/>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4"/>
    <w:bookmarkStart w:id="83" w:name="X85a3aa6e5079aa748cd286fc188147c88a6c079"/>
    <w:p>
      <w:pPr>
        <w:pStyle w:val="Ttulo4"/>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8f7a7f5a-d9d3-4263-bc56-78863d005a08"/>
    <w:p>
      <w:pPr>
        <w:pStyle w:val="CaptionedFigure"/>
      </w:pPr>
      <w:bookmarkStart w:id="78" w:name="fig:"/>
      <w:r>
        <w:drawing>
          <wp:inline>
            <wp:extent cx="5600700" cy="4232267"/>
            <wp:effectExtent b="0" l="0" r="0" t="0"/>
            <wp:docPr descr="Imagen 6: índices de efectividad de las arquitecturas del FNA." title="" id="76" name="Picture"/>
            <a:graphic>
              <a:graphicData uri="http://schemas.openxmlformats.org/drawingml/2006/picture">
                <pic:pic>
                  <pic:nvPicPr>
                    <pic:cNvPr descr="images/madurezInfo_graf.png" id="77" name="Picture"/>
                    <pic:cNvPicPr>
                      <a:picLocks noChangeArrowheads="1" noChangeAspect="1"/>
                    </pic:cNvPicPr>
                  </pic:nvPicPr>
                  <pic:blipFill>
                    <a:blip r:embed="rId75"/>
                    <a:stretch>
                      <a:fillRect/>
                    </a:stretch>
                  </pic:blipFill>
                  <pic:spPr bwMode="auto">
                    <a:xfrm>
                      <a:off x="0" y="0"/>
                      <a:ext cx="5600700" cy="4232267"/>
                    </a:xfrm>
                    <a:prstGeom prst="rect">
                      <a:avLst/>
                    </a:prstGeom>
                    <a:noFill/>
                    <a:ln w="9525">
                      <a:noFill/>
                      <a:headEnd/>
                      <a:tailEnd/>
                    </a:ln>
                  </pic:spPr>
                </pic:pic>
              </a:graphicData>
            </a:graphic>
          </wp:inline>
        </w:drawing>
      </w:r>
      <w:bookmarkEnd w:id="78"/>
    </w:p>
    <w:p>
      <w:pPr>
        <w:pStyle w:val="ImageCaption"/>
      </w:pPr>
      <w:r>
        <w:t xml:space="preserve">Imagen 6: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76687592-36a5-4db7-aa3b-0c9fe6b1664a"/>
    <w:p>
      <w:pPr>
        <w:pStyle w:val="CaptionedFigure"/>
      </w:pPr>
      <w:bookmarkStart w:id="82" w:name="fig:"/>
      <w:r>
        <w:drawing>
          <wp:inline>
            <wp:extent cx="5600700" cy="3248963"/>
            <wp:effectExtent b="0" l="0" r="0" t="0"/>
            <wp:docPr descr="Imagen 7: Indicador principal del gobierno SOA: KPI de Vínculo Contexto Negocio-SOA. Identifica y justifica los cambios SOA en relación al Valor de negocio." title="" id="80" name="Picture"/>
            <a:graphic>
              <a:graphicData uri="http://schemas.openxmlformats.org/drawingml/2006/picture">
                <pic:pic>
                  <pic:nvPicPr>
                    <pic:cNvPr descr="images/indicadoresgob.png" id="81" name="Picture"/>
                    <pic:cNvPicPr>
                      <a:picLocks noChangeArrowheads="1" noChangeAspect="1"/>
                    </pic:cNvPicPr>
                  </pic:nvPicPr>
                  <pic:blipFill>
                    <a:blip r:embed="rId79"/>
                    <a:stretch>
                      <a:fillRect/>
                    </a:stretch>
                  </pic:blipFill>
                  <pic:spPr bwMode="auto">
                    <a:xfrm>
                      <a:off x="0" y="0"/>
                      <a:ext cx="5600700" cy="3248963"/>
                    </a:xfrm>
                    <a:prstGeom prst="rect">
                      <a:avLst/>
                    </a:prstGeom>
                    <a:noFill/>
                    <a:ln w="9525">
                      <a:noFill/>
                      <a:headEnd/>
                      <a:tailEnd/>
                    </a:ln>
                  </pic:spPr>
                </pic:pic>
              </a:graphicData>
            </a:graphic>
          </wp:inline>
        </w:drawing>
      </w:r>
      <w:bookmarkEnd w:id="82"/>
    </w:p>
    <w:p>
      <w:pPr>
        <w:pStyle w:val="ImageCaption"/>
      </w:pPr>
      <w:r>
        <w:t xml:space="preserve">Imagen 7: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83"/>
    <w:bookmarkEnd w:id="84"/>
    <w:bookmarkStart w:id="89"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5dd4739c-c59d-45ae-825c-b78e04e005ae"/>
    <w:p>
      <w:pPr>
        <w:pStyle w:val="CaptionedFigure"/>
      </w:pPr>
      <w:bookmarkStart w:id="88" w:name="fig:"/>
      <w:r>
        <w:drawing>
          <wp:inline>
            <wp:extent cx="5600700" cy="4177941"/>
            <wp:effectExtent b="0" l="0" r="0" t="0"/>
            <wp:docPr descr="Imagen 8: Objetivos secundarios del gobierno SOA del FNA" title="" id="86" name="Picture"/>
            <a:graphic>
              <a:graphicData uri="http://schemas.openxmlformats.org/drawingml/2006/picture">
                <pic:pic>
                  <pic:nvPicPr>
                    <pic:cNvPr descr="images/gobiernobjetivos.png" id="87" name="Picture"/>
                    <pic:cNvPicPr>
                      <a:picLocks noChangeArrowheads="1" noChangeAspect="1"/>
                    </pic:cNvPicPr>
                  </pic:nvPicPr>
                  <pic:blipFill>
                    <a:blip r:embed="rId85"/>
                    <a:stretch>
                      <a:fillRect/>
                    </a:stretch>
                  </pic:blipFill>
                  <pic:spPr bwMode="auto">
                    <a:xfrm>
                      <a:off x="0" y="0"/>
                      <a:ext cx="5600700" cy="4177941"/>
                    </a:xfrm>
                    <a:prstGeom prst="rect">
                      <a:avLst/>
                    </a:prstGeom>
                    <a:noFill/>
                    <a:ln w="9525">
                      <a:noFill/>
                      <a:headEnd/>
                      <a:tailEnd/>
                    </a:ln>
                  </pic:spPr>
                </pic:pic>
              </a:graphicData>
            </a:graphic>
          </wp:inline>
        </w:drawing>
      </w:r>
      <w:bookmarkEnd w:id="88"/>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9"/>
    <w:bookmarkStart w:id="94" w:name="Xfb1d2aabaf6622218d5fc7b7ff0cb40a80934a6"/>
    <w:p>
      <w:pPr>
        <w:pStyle w:val="Ttulo3"/>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4ff3c2f9-0d40-4a82-9a9f-5665828500cd"/>
    <w:p>
      <w:pPr>
        <w:pStyle w:val="CaptionedFigure"/>
      </w:pPr>
      <w:bookmarkStart w:id="93" w:name="fig:"/>
      <w:r>
        <w:drawing>
          <wp:inline>
            <wp:extent cx="5600700" cy="4853940"/>
            <wp:effectExtent b="0" l="0" r="0" t="0"/>
            <wp:docPr descr="Imagen 9: TOGAF 9, Fase G, Implementation governance para la implementación de las capacidades de ejecución de hojas de ruta del FNA." title="" id="91" name="Picture"/>
            <a:graphic>
              <a:graphicData uri="http://schemas.openxmlformats.org/drawingml/2006/picture">
                <pic:pic>
                  <pic:nvPicPr>
                    <pic:cNvPr descr="images/capacidades.png" id="92" name="Picture"/>
                    <pic:cNvPicPr>
                      <a:picLocks noChangeArrowheads="1" noChangeAspect="1"/>
                    </pic:cNvPicPr>
                  </pic:nvPicPr>
                  <pic:blipFill>
                    <a:blip r:embed="rId90"/>
                    <a:stretch>
                      <a:fillRect/>
                    </a:stretch>
                  </pic:blipFill>
                  <pic:spPr bwMode="auto">
                    <a:xfrm>
                      <a:off x="0" y="0"/>
                      <a:ext cx="5600700" cy="4853940"/>
                    </a:xfrm>
                    <a:prstGeom prst="rect">
                      <a:avLst/>
                    </a:prstGeom>
                    <a:noFill/>
                    <a:ln w="9525">
                      <a:noFill/>
                      <a:headEnd/>
                      <a:tailEnd/>
                    </a:ln>
                  </pic:spPr>
                </pic:pic>
              </a:graphicData>
            </a:graphic>
          </wp:inline>
        </w:drawing>
      </w:r>
      <w:bookmarkEnd w:id="93"/>
    </w:p>
    <w:p>
      <w:pPr>
        <w:pStyle w:val="ImageCaption"/>
      </w:pPr>
      <w:r>
        <w:t xml:space="preserve">Imagen 9: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8"/>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8"/>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8"/>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8"/>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8"/>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8"/>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8"/>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bookmarkEnd w:id="94"/>
    <w:bookmarkEnd w:id="95"/>
    <w:bookmarkStart w:id="96"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96"/>
    <w:bookmarkStart w:id="97" w:name="Xd820393e281519037d62de8a6e14b7ac62e8045"/>
    <w:p>
      <w:pPr>
        <w:pStyle w:val="Ttulo2"/>
      </w:pPr>
      <w:r>
        <w:t xml:space="preserve">Anexo 2. Riesgos Técnicos FNA (E-Service, 2022)</w:t>
      </w:r>
    </w:p>
    <w:p>
      <w:pPr>
        <w:numPr>
          <w:ilvl w:val="0"/>
          <w:numId w:val="1010"/>
        </w:numPr>
        <w:pStyle w:val="Compact"/>
      </w:pPr>
      <w:r>
        <w:t xml:space="preserve">R01. Riesgo de agilidad limitada (ver imagen 1)</w:t>
      </w:r>
    </w:p>
    <w:p>
      <w:pPr>
        <w:numPr>
          <w:ilvl w:val="0"/>
          <w:numId w:val="1010"/>
        </w:numPr>
        <w:pStyle w:val="Compact"/>
      </w:pPr>
      <w:r>
        <w:t xml:space="preserve">R02. Riesgo de baja orquestación SOA (ver imagen 2a y 2b)</w:t>
      </w:r>
    </w:p>
    <w:p>
      <w:pPr>
        <w:numPr>
          <w:ilvl w:val="0"/>
          <w:numId w:val="1010"/>
        </w:numPr>
        <w:pStyle w:val="Compact"/>
      </w:pPr>
      <w:r>
        <w:t xml:space="preserve">R03. Riesgo de crecimiento de dependencias entre servicios SOA</w:t>
      </w:r>
    </w:p>
    <w:p>
      <w:pPr>
        <w:numPr>
          <w:ilvl w:val="0"/>
          <w:numId w:val="1010"/>
        </w:numPr>
        <w:pStyle w:val="Compact"/>
      </w:pPr>
      <w:r>
        <w:t xml:space="preserve">R04. Riesgo de crecimiento de adaptadores particulares –opuesto al estándar– (ver imagen 3)</w:t>
      </w:r>
    </w:p>
    <w:p>
      <w:pPr>
        <w:numPr>
          <w:ilvl w:val="0"/>
          <w:numId w:val="1010"/>
        </w:numPr>
        <w:pStyle w:val="Compact"/>
      </w:pPr>
      <w:r>
        <w:t xml:space="preserve">R05. Riesgo de baja reutilización de servicios SOA</w:t>
      </w:r>
    </w:p>
    <w:p>
      <w:pPr>
        <w:numPr>
          <w:ilvl w:val="0"/>
          <w:numId w:val="1010"/>
        </w:numPr>
        <w:pStyle w:val="Compact"/>
      </w:pPr>
      <w:r>
        <w:t xml:space="preserve">R06. Riesgo de permanencia de aplicaciones silos</w:t>
      </w:r>
    </w:p>
    <w:p>
      <w:pPr>
        <w:numPr>
          <w:ilvl w:val="0"/>
          <w:numId w:val="1010"/>
        </w:numPr>
        <w:pStyle w:val="Compact"/>
      </w:pPr>
      <w:r>
        <w:t xml:space="preserve">R07. Riesgo de falta de trazabilidad para la evolución e implementación de los servicios SOA</w:t>
      </w:r>
    </w:p>
    <w:bookmarkEnd w:id="97"/>
    <w:bookmarkStart w:id="102" w:name="X21a96da3f920813145eb584b698cab5decf3531"/>
    <w:p>
      <w:pPr>
        <w:pStyle w:val="Ttulo2"/>
      </w:pPr>
      <w:r>
        <w:t xml:space="preserve">Anexo 3. Proceso de Arquitectura Empresarial</w:t>
      </w:r>
    </w:p>
    <w:bookmarkStart w:id="0" w:name="fig:27b4faff-421e-4800-9dd3-4fc19f5f498d"/>
    <w:p>
      <w:pPr>
        <w:pStyle w:val="CaptionedFigure"/>
      </w:pPr>
      <w:bookmarkStart w:id="101" w:name="fig:"/>
      <w:r>
        <w:drawing>
          <wp:inline>
            <wp:extent cx="4406900" cy="5791200"/>
            <wp:effectExtent b="0" l="0" r="0" t="0"/>
            <wp:docPr descr="Imagen 10: TOGAF 9, Fase G, Implementation governance para la implementación de las capacidades de ejecución de hojas de ruta del FNA." title="" id="99" name="Picture"/>
            <a:graphic>
              <a:graphicData uri="http://schemas.openxmlformats.org/drawingml/2006/picture">
                <pic:pic>
                  <pic:nvPicPr>
                    <pic:cNvPr descr="images/adm.gif" id="100" name="Picture"/>
                    <pic:cNvPicPr>
                      <a:picLocks noChangeArrowheads="1" noChangeAspect="1"/>
                    </pic:cNvPicPr>
                  </pic:nvPicPr>
                  <pic:blipFill>
                    <a:blip r:embed="rId98"/>
                    <a:stretch>
                      <a:fillRect/>
                    </a:stretch>
                  </pic:blipFill>
                  <pic:spPr bwMode="auto">
                    <a:xfrm>
                      <a:off x="0" y="0"/>
                      <a:ext cx="4406900" cy="5791200"/>
                    </a:xfrm>
                    <a:prstGeom prst="rect">
                      <a:avLst/>
                    </a:prstGeom>
                    <a:noFill/>
                    <a:ln w="9525">
                      <a:noFill/>
                      <a:headEnd/>
                      <a:tailEnd/>
                    </a:ln>
                  </pic:spPr>
                </pic:pic>
              </a:graphicData>
            </a:graphic>
          </wp:inline>
        </w:drawing>
      </w:r>
      <w:bookmarkEnd w:id="101"/>
    </w:p>
    <w:p>
      <w:pPr>
        <w:pStyle w:val="ImageCaption"/>
      </w:pPr>
      <w:r>
        <w:t xml:space="preserve">Imagen 10: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2"/>
    <w:bookmarkEnd w:id="103"/>
    <w:bookmarkStart w:id="119"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11"/>
        </w:numPr>
        <w:pStyle w:val="Compact"/>
      </w:pPr>
      <w:r>
        <w:t xml:space="preserve">Recibe el requerimiento de arquitectura</w:t>
      </w:r>
    </w:p>
    <w:p>
      <w:pPr>
        <w:numPr>
          <w:ilvl w:val="1"/>
          <w:numId w:val="1012"/>
        </w:numPr>
        <w:pStyle w:val="Compact"/>
      </w:pPr>
      <w:r>
        <w:t xml:space="preserve">Inicia el proceso ADM - Fase de preliminar: alistamiento y aprobación​</w:t>
      </w:r>
    </w:p>
    <w:p>
      <w:pPr>
        <w:numPr>
          <w:ilvl w:val="1"/>
          <w:numId w:val="1012"/>
        </w:numPr>
        <w:pStyle w:val="Compact"/>
      </w:pPr>
      <w:r>
        <w:t xml:space="preserve">Arranca el modelado​ inicial o incremental, nivel 100</w:t>
      </w:r>
      <w:r>
        <w:t xml:space="preserve"> </w:t>
      </w:r>
      <w:r>
        <w:rPr>
          <w:rStyle w:val="Refdenotaalpie"/>
        </w:rPr>
        <w:footnoteReference w:id="104"/>
      </w:r>
    </w:p>
    <w:p>
      <w:pPr>
        <w:numPr>
          <w:ilvl w:val="0"/>
          <w:numId w:val="101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236710d-e345-418e-bb02-75963461d48d"/>
    <w:p>
      <w:pPr>
        <w:pStyle w:val="CaptionedFigure"/>
      </w:pPr>
      <w:bookmarkStart w:id="108" w:name="fig:"/>
      <w:r>
        <w:drawing>
          <wp:inline>
            <wp:extent cx="5600700" cy="4502286"/>
            <wp:effectExtent b="0" l="0" r="0" t="0"/>
            <wp:docPr descr="Imagen 11: alt 1. Actividades y relaciones de los estados de un flujo de trabajo de la oficina de arquitectura con arreglo al proceso ADM de TOGAF. Flujo para los requerimientos internos de la oficina de arquitectura del FNA." title="" id="106" name="Picture"/>
            <a:graphic>
              <a:graphicData uri="http://schemas.openxmlformats.org/drawingml/2006/picture">
                <pic:pic>
                  <pic:nvPicPr>
                    <pic:cNvPr descr="images/flujoADM-1.png" id="107" name="Picture"/>
                    <pic:cNvPicPr>
                      <a:picLocks noChangeArrowheads="1" noChangeAspect="1"/>
                    </pic:cNvPicPr>
                  </pic:nvPicPr>
                  <pic:blipFill>
                    <a:blip r:embed="rId105"/>
                    <a:stretch>
                      <a:fillRect/>
                    </a:stretch>
                  </pic:blipFill>
                  <pic:spPr bwMode="auto">
                    <a:xfrm>
                      <a:off x="0" y="0"/>
                      <a:ext cx="5600700" cy="4502286"/>
                    </a:xfrm>
                    <a:prstGeom prst="rect">
                      <a:avLst/>
                    </a:prstGeom>
                    <a:noFill/>
                    <a:ln w="9525">
                      <a:noFill/>
                      <a:headEnd/>
                      <a:tailEnd/>
                    </a:ln>
                  </pic:spPr>
                </pic:pic>
              </a:graphicData>
            </a:graphic>
          </wp:inline>
        </w:drawing>
      </w:r>
      <w:bookmarkEnd w:id="108"/>
    </w:p>
    <w:p>
      <w:pPr>
        <w:pStyle w:val="ImageCaption"/>
      </w:pPr>
      <w:r>
        <w:t xml:space="preserve">Imagen 11: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13"/>
        </w:numPr>
      </w:pPr>
      <w:r>
        <w:t xml:space="preserve">El Arq. FNA recibe el requerimientos de cambio</w:t>
      </w:r>
    </w:p>
    <w:p>
      <w:pPr>
        <w:numPr>
          <w:ilvl w:val="0"/>
          <w:numId w:val="1013"/>
        </w:numPr>
      </w:pPr>
      <w:r>
        <w:t xml:space="preserve">Inicia el proceso ADM - fase de preliminar: alistamiento y probación</w:t>
      </w:r>
    </w:p>
    <w:p>
      <w:pPr>
        <w:numPr>
          <w:ilvl w:val="0"/>
          <w:numId w:val="1013"/>
        </w:numPr>
      </w:pPr>
      <w:r>
        <w:t xml:space="preserve">Inicia el modelado</w:t>
      </w:r>
    </w:p>
    <w:p>
      <w:pPr>
        <w:numPr>
          <w:ilvl w:val="1"/>
          <w:numId w:val="1014"/>
        </w:numPr>
        <w:pStyle w:val="Compact"/>
      </w:pPr>
      <w:r>
        <w:t xml:space="preserve">Diseño</w:t>
      </w:r>
    </w:p>
    <w:p>
      <w:pPr>
        <w:numPr>
          <w:ilvl w:val="2"/>
          <w:numId w:val="1015"/>
        </w:numPr>
        <w:pStyle w:val="Compact"/>
      </w:pPr>
      <w:r>
        <w:t xml:space="preserve">Inicia diseño conceptual (nivel 100): appl, datos, TI, servicios, inversión</w:t>
      </w:r>
    </w:p>
    <w:p>
      <w:pPr>
        <w:numPr>
          <w:ilvl w:val="2"/>
          <w:numId w:val="1015"/>
        </w:numPr>
        <w:pStyle w:val="Compact"/>
      </w:pPr>
      <w:r>
        <w:t xml:space="preserve">Bloques de construcción abstractos</w:t>
      </w:r>
    </w:p>
    <w:p>
      <w:pPr>
        <w:numPr>
          <w:ilvl w:val="1"/>
          <w:numId w:val="1014"/>
        </w:numPr>
        <w:pStyle w:val="Compact"/>
      </w:pPr>
      <w:r>
        <w:t xml:space="preserve">Solución</w:t>
      </w:r>
    </w:p>
    <w:p>
      <w:pPr>
        <w:numPr>
          <w:ilvl w:val="2"/>
          <w:numId w:val="1016"/>
        </w:numPr>
        <w:pStyle w:val="Compact"/>
      </w:pPr>
      <w:r>
        <w:t xml:space="preserve">Bloques de construcción de solución</w:t>
      </w:r>
    </w:p>
    <w:p>
      <w:pPr>
        <w:numPr>
          <w:ilvl w:val="2"/>
          <w:numId w:val="1016"/>
        </w:numPr>
        <w:pStyle w:val="Compact"/>
      </w:pPr>
      <w:r>
        <w:t xml:space="preserve">Solicita diseño detallado (nivel 200, 300, 400 o 500) de los dominios de arquitectura: aplicaciones, datos, infraestructura y servicios</w:t>
      </w:r>
    </w:p>
    <w:p>
      <w:pPr>
        <w:numPr>
          <w:ilvl w:val="0"/>
          <w:numId w:val="1013"/>
        </w:numPr>
      </w:pPr>
      <w:r>
        <w:t xml:space="preserve">El Arquitecto FNA inicia los análisis mínimos</w:t>
      </w:r>
    </w:p>
    <w:p>
      <w:pPr>
        <w:numPr>
          <w:ilvl w:val="1"/>
          <w:numId w:val="1017"/>
        </w:numPr>
        <w:pStyle w:val="Compact"/>
      </w:pPr>
      <w:r>
        <w:t xml:space="preserve">Análisis de impacto</w:t>
      </w:r>
    </w:p>
    <w:p>
      <w:pPr>
        <w:numPr>
          <w:ilvl w:val="1"/>
          <w:numId w:val="1017"/>
        </w:numPr>
        <w:pStyle w:val="Compact"/>
      </w:pPr>
      <w:r>
        <w:t xml:space="preserve">de Complejidad</w:t>
      </w:r>
    </w:p>
    <w:p>
      <w:pPr>
        <w:numPr>
          <w:ilvl w:val="1"/>
          <w:numId w:val="1017"/>
        </w:numPr>
        <w:pStyle w:val="Compact"/>
      </w:pPr>
      <w:r>
        <w:t xml:space="preserve">y Costo / beneficio</w:t>
      </w:r>
    </w:p>
    <w:p>
      <w:pPr>
        <w:numPr>
          <w:ilvl w:val="0"/>
          <w:numId w:val="1013"/>
        </w:numPr>
      </w:pPr>
      <w:r>
        <w:t xml:space="preserve">El Arquitecto FNA (de la oficina de arquitectura) solicita al arquitecto de solución, sea de proveedor interno o externo, el inicio del Proceso ADM - fase de implementación y fase de gobierno</w:t>
      </w:r>
    </w:p>
    <w:p>
      <w:pPr>
        <w:numPr>
          <w:ilvl w:val="1"/>
          <w:numId w:val="1018"/>
        </w:numPr>
        <w:pStyle w:val="Compact"/>
      </w:pPr>
      <w:r>
        <w:t xml:space="preserve">El arquitecto de solución modela los bloques de solución</w:t>
      </w:r>
      <w:r>
        <w:t xml:space="preserve"> </w:t>
      </w:r>
      <w:r>
        <w:rPr>
          <w:rStyle w:val="Refdenotaalpie"/>
        </w:rPr>
        <w:footnoteReference w:id="109"/>
      </w:r>
    </w:p>
    <w:p>
      <w:pPr>
        <w:numPr>
          <w:ilvl w:val="0"/>
          <w:numId w:val="101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cba4c4a-317d-42aa-8418-68271c904264"/>
    <w:p>
      <w:pPr>
        <w:pStyle w:val="CaptionedFigure"/>
      </w:pPr>
      <w:bookmarkStart w:id="113" w:name="fig:"/>
      <w:r>
        <w:drawing>
          <wp:inline>
            <wp:extent cx="5600700" cy="4460578"/>
            <wp:effectExtent b="0" l="0" r="0" t="0"/>
            <wp:docPr descr="Imagen 12: alt 2. Actividades y relaciones de los estados de un flujo de trabajo de la oficina de arquitectura con arreglo al proceso ADM de TOGAF. Flujo para la oficina de arquitectura en conjunto con proveedores del FNA." title="" id="111" name="Picture"/>
            <a:graphic>
              <a:graphicData uri="http://schemas.openxmlformats.org/drawingml/2006/picture">
                <pic:pic>
                  <pic:nvPicPr>
                    <pic:cNvPr descr="images/flujoADM-2.png" id="112" name="Picture"/>
                    <pic:cNvPicPr>
                      <a:picLocks noChangeArrowheads="1" noChangeAspect="1"/>
                    </pic:cNvPicPr>
                  </pic:nvPicPr>
                  <pic:blipFill>
                    <a:blip r:embed="rId110"/>
                    <a:stretch>
                      <a:fillRect/>
                    </a:stretch>
                  </pic:blipFill>
                  <pic:spPr bwMode="auto">
                    <a:xfrm>
                      <a:off x="0" y="0"/>
                      <a:ext cx="5600700" cy="4460578"/>
                    </a:xfrm>
                    <a:prstGeom prst="rect">
                      <a:avLst/>
                    </a:prstGeom>
                    <a:noFill/>
                    <a:ln w="9525">
                      <a:noFill/>
                      <a:headEnd/>
                      <a:tailEnd/>
                    </a:ln>
                  </pic:spPr>
                </pic:pic>
              </a:graphicData>
            </a:graphic>
          </wp:inline>
        </w:drawing>
      </w:r>
      <w:bookmarkEnd w:id="113"/>
    </w:p>
    <w:p>
      <w:pPr>
        <w:pStyle w:val="ImageCaption"/>
      </w:pPr>
      <w:r>
        <w:t xml:space="preserve">Imagen 12: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1.b3bba4e del 19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9"/>
        </w:numPr>
        <w:pStyle w:val="Compact"/>
      </w:pPr>
      <w:r>
        <w:t xml:space="preserve">Modelo de gobierno SOA del FNA: actores, información y procedimientos</w:t>
      </w:r>
    </w:p>
    <w:bookmarkStart w:id="118"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Start w:id="117" w:name="refs"/>
    <w:p>
      <w:pPr>
        <w:pStyle w:val="Bibliography"/>
      </w:pPr>
      <w:r>
        <w:t xml:space="preserve">TOGAF 9.1. Risk Management (2023). En https://pubs.opengroup.org/architecture/togaf9-doc/arch/chap27.html</w:t>
      </w:r>
    </w:p>
    <w:bookmarkEnd w:id="117"/>
    <w:bookmarkEnd w:id="118"/>
    <w:bookmarkEnd w:id="11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Textonotapie"/>
      </w:pPr>
      <w:r>
        <w:rPr>
          <w:rStyle w:val="Refdenotaalpie"/>
        </w:rPr>
        <w:footnoteRef/>
      </w:r>
      <w:r>
        <w:t xml:space="preserve"> </w:t>
      </w:r>
      <w:r>
        <w:t xml:space="preserve">Niveles de detalle de la ingeniería: https://editeca.com/lod-nivel-de-desarrollo/</w:t>
      </w:r>
    </w:p>
  </w:footnote>
  <w:footnote w:id="104">
    <w:p>
      <w:pPr>
        <w:pStyle w:val="Textonotapie"/>
      </w:pPr>
      <w:r>
        <w:rPr>
          <w:rStyle w:val="Refdenotaalpie"/>
        </w:rPr>
        <w:footnoteRef/>
      </w:r>
      <w:r>
        <w:t xml:space="preserve"> </w:t>
      </w:r>
      <w:r>
        <w:t xml:space="preserve">Niveles de detalle de la ingeniería: https://editeca.com/lod-nivel-de-desarrollo/</w:t>
      </w:r>
    </w:p>
  </w:footnote>
  <w:footnote w:id="109">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jpg" /><Relationship Type="http://schemas.openxmlformats.org/officeDocument/2006/relationships/image" Id="rId98" Target="media/rId98.gif" /><Relationship Type="http://schemas.openxmlformats.org/officeDocument/2006/relationships/image" Id="rId90" Target="media/rId9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b3bba4edba58920f5504b2268505a8ee747dca8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b3bba4edba58920f5504b2268505a8ee747dca8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2023-06-19T21:46:47Z</dcterms:created>
  <dcterms:modified xsi:type="dcterms:W3CDTF">2023-06-19T21:46:47Z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