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STEF@be9ce52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1.be9ce52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1.be9ce52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92d0e8dd-a192-4a66-8910-e8161f06a2e9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1.be9ce52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1.be9ce52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 está conformado en mayor parte por la oficina de arquitectura del FNA (LOAF). Este comiteSigue algunos de los preceptos y roles del Equipo de Arquitectura Ágil (Disciplined Agile® DA™ architecture). Este comité no sustituye ni riñe con los otros existentes en la empresa, tales como el Comité de Control de Cambios o posteriores. Dentro del este comité de gobierno existen roles permitentes tanto a la arquitectura del FNA como a los líderes y grupos de producto (que pueden venir desde otras vicepresidencias del Fondo).</w:t>
      </w:r>
    </w:p>
    <w:p>
      <w:pPr>
        <w:pStyle w:val="Textoindependiente"/>
      </w:pPr>
      <w:r>
        <w:t xml:space="preserve">Nota 1: son roles, no posiciones dentro del organigrama de la empresa.</w:t>
      </w:r>
    </w:p>
    <w:p>
      <w:pPr>
        <w:pStyle w:val="Textoindependiente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8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8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8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b3c2c44-5611-4699-86a8-81264afa3f10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be9ce52b3682dcdc7f49f10bac0b3e83ac121a7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be9ce52b3682dcdc7f49f10bac0b3e83ac121a7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2023-06-09T17:32:51Z</dcterms:created>
  <dcterms:modified xsi:type="dcterms:W3CDTF">2023-06-09T17:32:51Z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