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3.gif" ContentType="image/gif"/>
  <Override PartName="/word/media/rId86.png" ContentType="image/png"/>
  <Override PartName="/word/media/rId96.png" ContentType="image/png"/>
  <Override PartName="/word/media/rId103.png" ContentType="image/png"/>
  <Override PartName="/word/media/rId109.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5.png" ContentType="image/png"/>
  <Override PartName="/word/media/rId34.jpg" ContentType="image/jpeg"/>
  <Override PartName="/word/media/rId1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STEF@c236b16</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1.c236b16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1.c236b16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1.c236b16</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bc5265e-890d-4f49-b7e5-df95be24cedd"/>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766adbc-598c-4fb5-8d48-e2de55fe74f4"/>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e0f4974-738d-4cad-b02e-7fb3e504b593"/>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21ce22ce-3cea-43c1-9788-e5ed8c6f6dfb"/>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446eaff2-9c54-4596-ad4a-4b31d4f3667e"/>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1408c757-0164-4a5d-a728-847927e54b67"/>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71c3991b-3a47-436b-b091-e0299025b927"/>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7"/>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estipulados.</w:t>
      </w:r>
    </w:p>
    <w:p>
      <w:pPr>
        <w:numPr>
          <w:ilvl w:val="0"/>
          <w:numId w:val="1007"/>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7"/>
        </w:numPr>
      </w:pPr>
      <w:r>
        <w:t xml:space="preserve">PRNC03. Paridad y Ponderación. Las decisiones de arquitectura no pueden generar ventajas injustas ni favorecer a un parte sobre otra.</w:t>
      </w:r>
    </w:p>
    <w:p>
      <w:pPr>
        <w:numPr>
          <w:ilvl w:val="0"/>
          <w:numId w:val="1007"/>
        </w:numPr>
      </w:pPr>
      <w:r>
        <w:t xml:space="preserve">PRNC04. Cumplimiento de Directiva de Arquitectura. Por sobre todas las cosas, la oficina de arquitectura debe cumnplir con la realización de los siguientes políticas.</w:t>
      </w:r>
    </w:p>
    <w:bookmarkStart w:id="93" w:name="X8b32d31ec3e3276c336252d56c2666a4756b483"/>
    <w:p>
      <w:pPr>
        <w:pStyle w:val="Ttulo2"/>
      </w:pPr>
      <w:r>
        <w:t xml:space="preserve">Políticas de la Oficina de Arquitectura del FNA</w:t>
      </w:r>
    </w:p>
    <w:p>
      <w:pPr>
        <w:numPr>
          <w:ilvl w:val="0"/>
          <w:numId w:val="1008"/>
        </w:numPr>
      </w:pPr>
      <w:r>
        <w:t xml:space="preserve">Estandarización. Desarrollo, promoción aplicación de estándares de diseño de servicios, componentes, y soluciones en toda la empresa.</w:t>
      </w:r>
    </w:p>
    <w:p>
      <w:pPr>
        <w:numPr>
          <w:ilvl w:val="0"/>
          <w:numId w:val="1008"/>
        </w:numPr>
      </w:pPr>
      <w:r>
        <w:t xml:space="preserve">Coherencia. Validación y aplicación de los estándares y herramientas, en igual medida, en los diseños de servicios, componentes y soluciones de la empresa.</w:t>
      </w:r>
    </w:p>
    <w:p>
      <w:pPr>
        <w:numPr>
          <w:ilvl w:val="0"/>
          <w:numId w:val="1008"/>
        </w:numPr>
      </w:pPr>
      <w:r>
        <w:t xml:space="preserve">Reutilización. Aplicar el uso de capacidades y estrategias habilitadoras de la reutilización de diseño de servicios, componentes, y soluciones que aprovechan los activos del FNA.</w:t>
      </w:r>
    </w:p>
    <w:p>
      <w:pPr>
        <w:numPr>
          <w:ilvl w:val="0"/>
          <w:numId w:val="1008"/>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End w:id="94"/>
    <w:bookmarkStart w:id="108"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100"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5"/>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b01ae6f-d1e6-477e-ac0d-e18777e5167d"/>
    <w:p>
      <w:pPr>
        <w:pStyle w:val="CaptionedFigure"/>
      </w:pPr>
      <w:bookmarkStart w:id="99"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7" name="Picture"/>
            <a:graphic>
              <a:graphicData uri="http://schemas.openxmlformats.org/drawingml/2006/picture">
                <pic:pic>
                  <pic:nvPicPr>
                    <pic:cNvPr descr="images/flujoADM-1.png" id="98" name="Picture"/>
                    <pic:cNvPicPr>
                      <a:picLocks noChangeArrowheads="1" noChangeAspect="1"/>
                    </pic:cNvPicPr>
                  </pic:nvPicPr>
                  <pic:blipFill>
                    <a:blip r:embed="rId96"/>
                    <a:stretch>
                      <a:fillRect/>
                    </a:stretch>
                  </pic:blipFill>
                  <pic:spPr bwMode="auto">
                    <a:xfrm>
                      <a:off x="0" y="0"/>
                      <a:ext cx="5600700" cy="4502286"/>
                    </a:xfrm>
                    <a:prstGeom prst="rect">
                      <a:avLst/>
                    </a:prstGeom>
                    <a:noFill/>
                    <a:ln w="9525">
                      <a:noFill/>
                      <a:headEnd/>
                      <a:tailEnd/>
                    </a:ln>
                  </pic:spPr>
                </pic:pic>
              </a:graphicData>
            </a:graphic>
          </wp:inline>
        </w:drawing>
      </w:r>
      <w:bookmarkEnd w:id="99"/>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100"/>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101"/>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102"/>
    <w:bookmarkStart w:id="107"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6c46795-d9b1-467d-ab67-5a9fe9d1dcdb"/>
    <w:p>
      <w:pPr>
        <w:pStyle w:val="CaptionedFigure"/>
      </w:pPr>
      <w:bookmarkStart w:id="106"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4" name="Picture"/>
            <a:graphic>
              <a:graphicData uri="http://schemas.openxmlformats.org/drawingml/2006/picture">
                <pic:pic>
                  <pic:nvPicPr>
                    <pic:cNvPr descr="images/flujoADM-2.png" id="105" name="Picture"/>
                    <pic:cNvPicPr>
                      <a:picLocks noChangeArrowheads="1" noChangeAspect="1"/>
                    </pic:cNvPicPr>
                  </pic:nvPicPr>
                  <pic:blipFill>
                    <a:blip r:embed="rId103"/>
                    <a:stretch>
                      <a:fillRect/>
                    </a:stretch>
                  </pic:blipFill>
                  <pic:spPr bwMode="auto">
                    <a:xfrm>
                      <a:off x="0" y="0"/>
                      <a:ext cx="5600700" cy="4460578"/>
                    </a:xfrm>
                    <a:prstGeom prst="rect">
                      <a:avLst/>
                    </a:prstGeom>
                    <a:noFill/>
                    <a:ln w="9525">
                      <a:noFill/>
                      <a:headEnd/>
                      <a:tailEnd/>
                    </a:ln>
                  </pic:spPr>
                </pic:pic>
              </a:graphicData>
            </a:graphic>
          </wp:inline>
        </w:drawing>
      </w:r>
      <w:bookmarkEnd w:id="106"/>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7"/>
    <w:bookmarkEnd w:id="108"/>
    <w:bookmarkStart w:id="11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3"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e859def-e03f-4b82-8229-f06b32ab767d"/>
    <w:p>
      <w:pPr>
        <w:pStyle w:val="CaptionedFigure"/>
      </w:pPr>
      <w:bookmarkStart w:id="112" w:name="fig:"/>
      <w:r>
        <w:drawing>
          <wp:inline>
            <wp:extent cx="5600700" cy="4089497"/>
            <wp:effectExtent b="0" l="0" r="0" t="0"/>
            <wp:docPr descr="Imagen 11: Funciones operativas de la Oficina de Arquitectura del FNA. Operaciones solicitadas a la oficina." title="" id="110" name="Picture"/>
            <a:graphic>
              <a:graphicData uri="http://schemas.openxmlformats.org/drawingml/2006/picture">
                <pic:pic>
                  <pic:nvPicPr>
                    <pic:cNvPr descr="images/funcionesof.png" id="111" name="Picture"/>
                    <pic:cNvPicPr>
                      <a:picLocks noChangeArrowheads="1" noChangeAspect="1"/>
                    </pic:cNvPicPr>
                  </pic:nvPicPr>
                  <pic:blipFill>
                    <a:blip r:embed="rId109"/>
                    <a:stretch>
                      <a:fillRect/>
                    </a:stretch>
                  </pic:blipFill>
                  <pic:spPr bwMode="auto">
                    <a:xfrm>
                      <a:off x="0" y="0"/>
                      <a:ext cx="5600700" cy="4089497"/>
                    </a:xfrm>
                    <a:prstGeom prst="rect">
                      <a:avLst/>
                    </a:prstGeom>
                    <a:noFill/>
                    <a:ln w="9525">
                      <a:noFill/>
                      <a:headEnd/>
                      <a:tailEnd/>
                    </a:ln>
                  </pic:spPr>
                </pic:pic>
              </a:graphicData>
            </a:graphic>
          </wp:inline>
        </w:drawing>
      </w:r>
      <w:bookmarkEnd w:id="112"/>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3"/>
    <w:bookmarkEnd w:id="114"/>
    <w:bookmarkStart w:id="124"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RESPC01. Vigilancia de alineación negocio-arquitectura</w:t>
      </w:r>
    </w:p>
    <w:p>
      <w:pPr>
        <w:numPr>
          <w:ilvl w:val="0"/>
          <w:numId w:val="1019"/>
        </w:numPr>
        <w:pStyle w:val="Compact"/>
      </w:pPr>
      <w:r>
        <w:t xml:space="preserve">RESPC02. Equilibrio arquitectura y procesos SOA</w:t>
      </w:r>
    </w:p>
    <w:p>
      <w:pPr>
        <w:numPr>
          <w:ilvl w:val="0"/>
          <w:numId w:val="1019"/>
        </w:numPr>
        <w:pStyle w:val="Compact"/>
      </w:pPr>
      <w:r>
        <w:t xml:space="preserve">RESPC03. Supervisión de efectividad y factibilidad SOA</w:t>
      </w:r>
    </w:p>
    <w:p>
      <w:pPr>
        <w:numPr>
          <w:ilvl w:val="0"/>
          <w:numId w:val="1019"/>
        </w:numPr>
        <w:pStyle w:val="Compact"/>
      </w:pPr>
      <w:r>
        <w:t xml:space="preserve">RESPC04. Mejora de los índices de efectividad (madurez) SOA</w:t>
      </w:r>
    </w:p>
    <w:p>
      <w:pPr>
        <w:numPr>
          <w:ilvl w:val="0"/>
          <w:numId w:val="1019"/>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cfb52099-4fa9-4aea-9645-711fd03aea17"/>
    <w:p>
      <w:pPr>
        <w:pStyle w:val="CaptionedFigure"/>
      </w:pPr>
      <w:bookmarkStart w:id="118" w:name="fig:"/>
      <w:r>
        <w:drawing>
          <wp:inline>
            <wp:extent cx="5600700" cy="4402410"/>
            <wp:effectExtent b="0" l="0" r="0" t="0"/>
            <wp:docPr descr="Imagen 12: Funciones (responsabilidades) de la Oficina de Arquitectura del FNA. Gobierno SOA, v0.5." title="" id="116" name="Picture"/>
            <a:graphic>
              <a:graphicData uri="http://schemas.openxmlformats.org/drawingml/2006/picture">
                <pic:pic>
                  <pic:nvPicPr>
                    <pic:cNvPr descr="images/responsabilidadgob.png" id="117" name="Picture"/>
                    <pic:cNvPicPr>
                      <a:picLocks noChangeArrowheads="1" noChangeAspect="1"/>
                    </pic:cNvPicPr>
                  </pic:nvPicPr>
                  <pic:blipFill>
                    <a:blip r:embed="rId115"/>
                    <a:stretch>
                      <a:fillRect/>
                    </a:stretch>
                  </pic:blipFill>
                  <pic:spPr bwMode="auto">
                    <a:xfrm>
                      <a:off x="0" y="0"/>
                      <a:ext cx="5600700" cy="4402410"/>
                    </a:xfrm>
                    <a:prstGeom prst="rect">
                      <a:avLst/>
                    </a:prstGeom>
                    <a:noFill/>
                    <a:ln w="9525">
                      <a:noFill/>
                      <a:headEnd/>
                      <a:tailEnd/>
                    </a:ln>
                  </pic:spPr>
                </pic:pic>
              </a:graphicData>
            </a:graphic>
          </wp:inline>
        </w:drawing>
      </w:r>
      <w:bookmarkEnd w:id="118"/>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9" w:name="X9a4995a2dce7dd649f71e6943a0b2610c978b6f"/>
    <w:p>
      <w:pPr>
        <w:pStyle w:val="Ttulo2"/>
      </w:pPr>
      <w:r>
        <w:t xml:space="preserve">Vigilancia de alineación negocio-arquitectura</w:t>
      </w:r>
    </w:p>
    <w:bookmarkEnd w:id="119"/>
    <w:bookmarkStart w:id="120" w:name="equilibrio-arquitectura-y-procesos-soa"/>
    <w:p>
      <w:pPr>
        <w:pStyle w:val="Ttulo2"/>
      </w:pPr>
      <w:r>
        <w:t xml:space="preserve">Equilibrio arquitectura y procesos SOA</w:t>
      </w:r>
    </w:p>
    <w:bookmarkEnd w:id="120"/>
    <w:bookmarkStart w:id="121" w:name="X9e585d85ac198fb4fa428defd3c13593f667a0e"/>
    <w:p>
      <w:pPr>
        <w:pStyle w:val="Ttulo2"/>
      </w:pPr>
      <w:r>
        <w:t xml:space="preserve">Supervisión de efectividad y factibilidad SOA</w:t>
      </w:r>
    </w:p>
    <w:bookmarkEnd w:id="121"/>
    <w:bookmarkStart w:id="122" w:name="Xcf3fb5954575e9f517c883c7c5b2a445b0eccea"/>
    <w:p>
      <w:pPr>
        <w:pStyle w:val="Ttulo2"/>
      </w:pPr>
      <w:r>
        <w:t xml:space="preserve">Mejora de los índices de efectividad (madurez) SOA</w:t>
      </w:r>
    </w:p>
    <w:bookmarkEnd w:id="122"/>
    <w:bookmarkStart w:id="123"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1.c236b16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3"/>
    <w:bookmarkEnd w:id="124"/>
    <w:bookmarkStart w:id="141"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79bf55b-decf-4d41-afa3-840a3caebff7"/>
    <w:p>
      <w:pPr>
        <w:pStyle w:val="CaptionedFigure"/>
      </w:pPr>
      <w:bookmarkStart w:id="128" w:name="fig:"/>
      <w:r>
        <w:drawing>
          <wp:inline>
            <wp:extent cx="5600700" cy="3900354"/>
            <wp:effectExtent b="0" l="0" r="0" t="0"/>
            <wp:docPr descr="Imagen 13: Actividades y relaciones del proceso principal de gobierno SOA para el FNA. Relación con capacidades y objetivos SOA necesarios para el FNA." title="" id="126" name="Picture"/>
            <a:graphic>
              <a:graphicData uri="http://schemas.openxmlformats.org/drawingml/2006/picture">
                <pic:pic>
                  <pic:nvPicPr>
                    <pic:cNvPr descr="images/proceso-gob.png" id="127" name="Picture"/>
                    <pic:cNvPicPr>
                      <a:picLocks noChangeArrowheads="1" noChangeAspect="1"/>
                    </pic:cNvPicPr>
                  </pic:nvPicPr>
                  <pic:blipFill>
                    <a:blip r:embed="rId125"/>
                    <a:stretch>
                      <a:fillRect/>
                    </a:stretch>
                  </pic:blipFill>
                  <pic:spPr bwMode="auto">
                    <a:xfrm>
                      <a:off x="0" y="0"/>
                      <a:ext cx="5600700" cy="3900354"/>
                    </a:xfrm>
                    <a:prstGeom prst="rect">
                      <a:avLst/>
                    </a:prstGeom>
                    <a:noFill/>
                    <a:ln w="9525">
                      <a:noFill/>
                      <a:headEnd/>
                      <a:tailEnd/>
                    </a:ln>
                  </pic:spPr>
                </pic:pic>
              </a:graphicData>
            </a:graphic>
          </wp:inline>
        </w:drawing>
      </w:r>
      <w:bookmarkEnd w:id="128"/>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9"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9"/>
    <w:bookmarkStart w:id="130"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30"/>
    <w:bookmarkStart w:id="131" w:name="X1dff0e18553c7791a6591965f046615447427d7"/>
    <w:p>
      <w:pPr>
        <w:pStyle w:val="Ttulo2"/>
      </w:pPr>
      <w:r>
        <w:t xml:space="preserve">Anexo 1. Susceptibilidades de Gobierno (PR01)</w:t>
      </w:r>
    </w:p>
    <w:p>
      <w:pPr>
        <w:numPr>
          <w:ilvl w:val="0"/>
          <w:numId w:val="1020"/>
        </w:numPr>
        <w:pStyle w:val="Compact"/>
      </w:pPr>
      <w:r>
        <w:t xml:space="preserve">Debilidad en la Completitud de los CU</w:t>
      </w:r>
    </w:p>
    <w:p>
      <w:pPr>
        <w:numPr>
          <w:ilvl w:val="0"/>
          <w:numId w:val="1020"/>
        </w:numPr>
        <w:pStyle w:val="Compact"/>
      </w:pPr>
      <w:r>
        <w:t xml:space="preserve">Herramientas y Métodos de QA relacionados con sistemas distribuidos y QA​</w:t>
      </w:r>
    </w:p>
    <w:p>
      <w:pPr>
        <w:numPr>
          <w:ilvl w:val="0"/>
          <w:numId w:val="1020"/>
        </w:numPr>
        <w:pStyle w:val="Compact"/>
      </w:pPr>
      <w:r>
        <w:t xml:space="preserve">Normalización y fortalecimiento de los ambientes QA ​</w:t>
      </w:r>
    </w:p>
    <w:p>
      <w:pPr>
        <w:numPr>
          <w:ilvl w:val="0"/>
          <w:numId w:val="1020"/>
        </w:numPr>
        <w:pStyle w:val="Compact"/>
      </w:pPr>
      <w:r>
        <w:t xml:space="preserve">Gestión del diseño y arquitecturas: categorización de complejidad​</w:t>
      </w:r>
    </w:p>
    <w:p>
      <w:pPr>
        <w:numPr>
          <w:ilvl w:val="0"/>
          <w:numId w:val="1020"/>
        </w:numPr>
        <w:pStyle w:val="Compact"/>
      </w:pPr>
      <w:r>
        <w:t xml:space="preserve">Correspondencia complejidad - diseño</w:t>
      </w:r>
    </w:p>
    <w:p>
      <w:pPr>
        <w:numPr>
          <w:ilvl w:val="0"/>
          <w:numId w:val="1020"/>
        </w:numPr>
        <w:pStyle w:val="Compact"/>
      </w:pPr>
      <w:r>
        <w:t xml:space="preserve">Débil (o inexistente) procedimiento de evaluación de inversión​</w:t>
      </w:r>
    </w:p>
    <w:p>
      <w:pPr>
        <w:numPr>
          <w:ilvl w:val="0"/>
          <w:numId w:val="1020"/>
        </w:numPr>
        <w:pStyle w:val="Compact"/>
      </w:pPr>
      <w:r>
        <w:t xml:space="preserve">Débil (o inexistente) formalidad para el cálculo de eficacia un inversión​ TI, proveedores</w:t>
      </w:r>
    </w:p>
    <w:p>
      <w:pPr>
        <w:numPr>
          <w:ilvl w:val="0"/>
          <w:numId w:val="1020"/>
        </w:numPr>
        <w:pStyle w:val="Compact"/>
      </w:pPr>
      <w:r>
        <w:t xml:space="preserve">Normnalizar registro de resultados de las entregas de proveedores​ (confiabilidad)</w:t>
      </w:r>
    </w:p>
    <w:p>
      <w:pPr>
        <w:numPr>
          <w:ilvl w:val="0"/>
          <w:numId w:val="1020"/>
        </w:numPr>
        <w:pStyle w:val="Compact"/>
      </w:pPr>
      <w:r>
        <w:t xml:space="preserve">Asignación de responsables de gestión de las inversiones de TI</w:t>
      </w:r>
    </w:p>
    <w:p>
      <w:pPr>
        <w:pStyle w:val="FirstParagraph"/>
      </w:pPr>
    </w:p>
    <w:bookmarkEnd w:id="131"/>
    <w:bookmarkStart w:id="132" w:name="Xd820393e281519037d62de8a6e14b7ac62e8045"/>
    <w:p>
      <w:pPr>
        <w:pStyle w:val="Ttulo2"/>
      </w:pPr>
      <w:r>
        <w:t xml:space="preserve">Anexo 2. Riesgos Técnicos FNA (E-Service, 2022)</w:t>
      </w:r>
    </w:p>
    <w:p>
      <w:pPr>
        <w:numPr>
          <w:ilvl w:val="0"/>
          <w:numId w:val="1021"/>
        </w:numPr>
        <w:pStyle w:val="Compact"/>
      </w:pPr>
      <w:r>
        <w:t xml:space="preserve">R01. Riesgo de agilidad limitada (ver imagen 1)</w:t>
      </w:r>
    </w:p>
    <w:p>
      <w:pPr>
        <w:numPr>
          <w:ilvl w:val="0"/>
          <w:numId w:val="1021"/>
        </w:numPr>
        <w:pStyle w:val="Compact"/>
      </w:pPr>
      <w:r>
        <w:t xml:space="preserve">R02. Riesgo de baja orquestación SOA (ver imagen 2a y 2b)</w:t>
      </w:r>
    </w:p>
    <w:p>
      <w:pPr>
        <w:numPr>
          <w:ilvl w:val="0"/>
          <w:numId w:val="1021"/>
        </w:numPr>
        <w:pStyle w:val="Compact"/>
      </w:pPr>
      <w:r>
        <w:t xml:space="preserve">R03. Riesgo de crecimiento de dependencias entre servicios SOA</w:t>
      </w:r>
    </w:p>
    <w:p>
      <w:pPr>
        <w:numPr>
          <w:ilvl w:val="0"/>
          <w:numId w:val="1021"/>
        </w:numPr>
        <w:pStyle w:val="Compact"/>
      </w:pPr>
      <w:r>
        <w:t xml:space="preserve">R04. Riesgo de crecimiento de adaptadores particulares –opuesto al estándar– (ver imagen 3)</w:t>
      </w:r>
    </w:p>
    <w:p>
      <w:pPr>
        <w:numPr>
          <w:ilvl w:val="0"/>
          <w:numId w:val="1021"/>
        </w:numPr>
        <w:pStyle w:val="Compact"/>
      </w:pPr>
      <w:r>
        <w:t xml:space="preserve">R05. Riesgo de baja reutilización de servicios SOA</w:t>
      </w:r>
    </w:p>
    <w:p>
      <w:pPr>
        <w:numPr>
          <w:ilvl w:val="0"/>
          <w:numId w:val="1021"/>
        </w:numPr>
        <w:pStyle w:val="Compact"/>
      </w:pPr>
      <w:r>
        <w:t xml:space="preserve">R06. Riesgo de permanencia de aplicaciones silos</w:t>
      </w:r>
    </w:p>
    <w:p>
      <w:pPr>
        <w:numPr>
          <w:ilvl w:val="0"/>
          <w:numId w:val="1021"/>
        </w:numPr>
        <w:pStyle w:val="Compact"/>
      </w:pPr>
      <w:r>
        <w:t xml:space="preserve">R07. Riesgo de falta de trazabilidad para la evolución e implementación de los servicios SOA</w:t>
      </w:r>
    </w:p>
    <w:bookmarkEnd w:id="132"/>
    <w:bookmarkStart w:id="137"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4a2768cf-5b70-49f9-8d81-e448ed5e8093"/>
    <w:p>
      <w:pPr>
        <w:pStyle w:val="CaptionedFigure"/>
      </w:pPr>
      <w:bookmarkStart w:id="136" w:name="fig:"/>
      <w:r>
        <w:drawing>
          <wp:inline>
            <wp:extent cx="4406900" cy="5791200"/>
            <wp:effectExtent b="0" l="0" r="0" t="0"/>
            <wp:docPr descr="Imagen 14: TOGAF 9, Fase G, Implementation governance para la implementación de las capacidades de ejecución de hojas de ruta del FNA." title="" id="134" name="Picture"/>
            <a:graphic>
              <a:graphicData uri="http://schemas.openxmlformats.org/drawingml/2006/picture">
                <pic:pic>
                  <pic:nvPicPr>
                    <pic:cNvPr descr="images/adm.gif" id="135" name="Picture"/>
                    <pic:cNvPicPr>
                      <a:picLocks noChangeArrowheads="1" noChangeAspect="1"/>
                    </pic:cNvPicPr>
                  </pic:nvPicPr>
                  <pic:blipFill>
                    <a:blip r:embed="rId133"/>
                    <a:stretch>
                      <a:fillRect/>
                    </a:stretch>
                  </pic:blipFill>
                  <pic:spPr bwMode="auto">
                    <a:xfrm>
                      <a:off x="0" y="0"/>
                      <a:ext cx="4406900" cy="5791200"/>
                    </a:xfrm>
                    <a:prstGeom prst="rect">
                      <a:avLst/>
                    </a:prstGeom>
                    <a:noFill/>
                    <a:ln w="9525">
                      <a:noFill/>
                      <a:headEnd/>
                      <a:tailEnd/>
                    </a:ln>
                  </pic:spPr>
                </pic:pic>
              </a:graphicData>
            </a:graphic>
          </wp:inline>
        </w:drawing>
      </w:r>
      <w:bookmarkEnd w:id="136"/>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7"/>
    <w:bookmarkStart w:id="140"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8" w:name="especificaciones"/>
    <w:p>
      <w:pPr>
        <w:pStyle w:val="Ttulo3"/>
      </w:pPr>
      <w:r>
        <w:t xml:space="preserve">Especificaciones</w:t>
      </w:r>
    </w:p>
    <w:p>
      <w:pPr>
        <w:numPr>
          <w:ilvl w:val="0"/>
          <w:numId w:val="1022"/>
        </w:numPr>
        <w:pStyle w:val="Compact"/>
      </w:pPr>
      <w:r>
        <w:t xml:space="preserve">Tipo de contenido: texto</w:t>
      </w:r>
    </w:p>
    <w:p>
      <w:pPr>
        <w:numPr>
          <w:ilvl w:val="0"/>
          <w:numId w:val="1022"/>
        </w:numPr>
        <w:pStyle w:val="Compact"/>
      </w:pPr>
      <w:r>
        <w:t xml:space="preserve">Documento versionado</w:t>
      </w:r>
    </w:p>
    <w:p>
      <w:pPr>
        <w:numPr>
          <w:ilvl w:val="0"/>
          <w:numId w:val="1022"/>
        </w:numPr>
        <w:pStyle w:val="Compact"/>
      </w:pPr>
      <w:r>
        <w:t xml:space="preserve">Referencias a partes y elementos del modelo</w:t>
      </w:r>
    </w:p>
    <w:p>
      <w:pPr>
        <w:numPr>
          <w:ilvl w:val="0"/>
          <w:numId w:val="1022"/>
        </w:numPr>
        <w:pStyle w:val="Compact"/>
      </w:pPr>
      <w:r>
        <w:t xml:space="preserve">Referencias a imágenes y contenidos del repositorio de arquitectura FNA</w:t>
      </w:r>
    </w:p>
    <w:bookmarkEnd w:id="138"/>
    <w:bookmarkStart w:id="139"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1.c236b16</w:t>
      </w:r>
    </w:p>
    <w:p>
      <w:pPr>
        <w:pStyle w:val="FirstParagraph"/>
      </w:pPr>
    </w:p>
    <w:bookmarkEnd w:id="139"/>
    <w:bookmarkEnd w:id="140"/>
    <w:bookmarkEnd w:id="141"/>
    <w:bookmarkStart w:id="14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2"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2"/>
    <w:bookmarkStart w:id="143" w:name="contenidos-1"/>
    <w:p>
      <w:pPr>
        <w:pStyle w:val="Ttulo2"/>
      </w:pPr>
      <w:r>
        <w:t xml:space="preserve">Contenidos</w:t>
      </w:r>
    </w:p>
    <w:p>
      <w:pPr>
        <w:numPr>
          <w:ilvl w:val="0"/>
          <w:numId w:val="1023"/>
        </w:numPr>
        <w:pStyle w:val="Compact"/>
      </w:pPr>
      <w:r>
        <w:t xml:space="preserve">Modelo operativo del Comité de Gobierno de Arquitecturas del FNA: ámbitos y alcances del comité</w:t>
      </w:r>
    </w:p>
    <w:p>
      <w:pPr>
        <w:numPr>
          <w:ilvl w:val="0"/>
          <w:numId w:val="1023"/>
        </w:numPr>
        <w:pStyle w:val="Compact"/>
      </w:pPr>
      <w:r>
        <w:t xml:space="preserve">Consideraciones para la puesta en marcha de la bitácora de decisiones de arquitectura</w:t>
      </w:r>
    </w:p>
    <w:p>
      <w:pPr>
        <w:numPr>
          <w:ilvl w:val="0"/>
          <w:numId w:val="1023"/>
        </w:numPr>
        <w:pStyle w:val="Compact"/>
      </w:pPr>
      <w:r>
        <w:t xml:space="preserve">Respositorio y gestión de los requerimientos de arquitectura del FNA (flexibilidad, confiabilidad, rendimiento, mantenibilidad)</w:t>
      </w:r>
    </w:p>
    <w:p>
      <w:pPr>
        <w:numPr>
          <w:ilvl w:val="0"/>
          <w:numId w:val="1023"/>
        </w:numPr>
        <w:pStyle w:val="Compact"/>
      </w:pPr>
      <w:r>
        <w:t xml:space="preserve">Métodos de evaluación de arquitecturas para el FNA</w:t>
      </w:r>
    </w:p>
    <w:p>
      <w:pPr>
        <w:pStyle w:val="FirstParagraph"/>
      </w:pPr>
    </w:p>
    <w:bookmarkEnd w:id="143"/>
    <w:bookmarkStart w:id="144" w:name="criterios-de-aceptación-1"/>
    <w:p>
      <w:pPr>
        <w:pStyle w:val="Ttulo2"/>
      </w:pPr>
      <w:r>
        <w:t xml:space="preserve">Criterios de Aceptación</w:t>
      </w:r>
    </w:p>
    <w:p>
      <w:pPr>
        <w:numPr>
          <w:ilvl w:val="0"/>
          <w:numId w:val="1024"/>
        </w:numPr>
        <w:pStyle w:val="Compact"/>
      </w:pPr>
      <w:r>
        <w:t xml:space="preserve">Especificaciones de la bitácora de decisiones de arquitectura</w:t>
      </w:r>
    </w:p>
    <w:p>
      <w:pPr>
        <w:numPr>
          <w:ilvl w:val="0"/>
          <w:numId w:val="1024"/>
        </w:numPr>
        <w:pStyle w:val="Compact"/>
      </w:pPr>
      <w:r>
        <w:t xml:space="preserve">Especificaciones de funcionamiento del Comité de Gobierno de Arquitecturas del FNA</w:t>
      </w:r>
    </w:p>
    <w:p>
      <w:pPr>
        <w:numPr>
          <w:ilvl w:val="0"/>
          <w:numId w:val="1024"/>
        </w:numPr>
        <w:pStyle w:val="Compact"/>
      </w:pPr>
      <w:r>
        <w:t xml:space="preserve">Esquema de comunicación y publicación de cambios a las arquitecturas del FNA</w:t>
      </w:r>
    </w:p>
    <w:p>
      <w:pPr>
        <w:pStyle w:val="FirstParagraph"/>
      </w:pPr>
    </w:p>
    <w:bookmarkEnd w:id="144"/>
    <w:bookmarkStart w:id="148" w:name="modelo-de-implementación-del-pry01-1"/>
    <w:p>
      <w:pPr>
        <w:pStyle w:val="Ttulo2"/>
      </w:pPr>
      <w:r>
        <w:t xml:space="preserve">Modelo de Implementación del PRY01</w:t>
      </w:r>
    </w:p>
    <w:bookmarkStart w:id="0" w:name="fig:35bcb6b1-b914-4c34-bc02-91a0f092d06b"/>
    <w:p>
      <w:pPr>
        <w:pStyle w:val="CaptionedFigure"/>
      </w:pPr>
      <w:bookmarkStart w:id="147" w:name="fig:"/>
      <w:r>
        <w:drawing>
          <wp:inline>
            <wp:extent cx="5600700" cy="4499951"/>
            <wp:effectExtent b="0" l="0" r="0" t="0"/>
            <wp:docPr descr="Imagen 15: Plan de Implementación del Proyecto Hoja de Ruta E-Service FNA, 2023. Abril 2023 a Agosto 2023" title="" id="145" name="Picture"/>
            <a:graphic>
              <a:graphicData uri="http://schemas.openxmlformats.org/drawingml/2006/picture">
                <pic:pic>
                  <pic:nvPicPr>
                    <pic:cNvPr descr="images/pry1gobierno.jpg" id="14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7"/>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8"/>
    <w:bookmarkEnd w:id="149"/>
    <w:bookmarkStart w:id="156"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50"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50"/>
    <w:bookmarkStart w:id="151"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5"/>
        </w:numPr>
        <w:pStyle w:val="Compact"/>
      </w:pPr>
      <w:r>
        <w:t xml:space="preserve">Guiar y priorización los esfuerzos de la oficina de arquitectura</w:t>
      </w:r>
    </w:p>
    <w:p>
      <w:pPr>
        <w:numPr>
          <w:ilvl w:val="0"/>
          <w:numId w:val="1025"/>
        </w:numPr>
        <w:pStyle w:val="Compact"/>
      </w:pPr>
      <w:r>
        <w:t xml:space="preserve">Ejercitar los roles y responsabilidades del gobierno SOA del FNA, y respaldar su supervisión y la rendición de cuentas de la oficina de arquitectura</w:t>
      </w:r>
    </w:p>
    <w:p>
      <w:pPr>
        <w:numPr>
          <w:ilvl w:val="0"/>
          <w:numId w:val="1025"/>
        </w:numPr>
        <w:pStyle w:val="Compact"/>
      </w:pPr>
      <w:r>
        <w:t xml:space="preserve">Efectivizar el proceso de toma de decisiones sobre los trabajos de arquitectura</w:t>
      </w:r>
    </w:p>
    <w:p>
      <w:pPr>
        <w:numPr>
          <w:ilvl w:val="0"/>
          <w:numId w:val="1025"/>
        </w:numPr>
        <w:pStyle w:val="Compact"/>
      </w:pPr>
      <w:r>
        <w:t xml:space="preserve">Verificar la aplicación de los métodos (procedimientos normales) de arquitectura del FNA y del gobierno SOA del FNA</w:t>
      </w:r>
    </w:p>
    <w:p>
      <w:pPr>
        <w:numPr>
          <w:ilvl w:val="0"/>
          <w:numId w:val="1025"/>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5"/>
        </w:numPr>
        <w:pStyle w:val="Compact"/>
      </w:pPr>
      <w:r>
        <w:t xml:space="preserve">Procurar la visibilidad de las áreas del FNA del trabajo de la oficina de arquitectura</w:t>
      </w:r>
    </w:p>
    <w:bookmarkEnd w:id="151"/>
    <w:bookmarkStart w:id="155"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2"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152"/>
    <w:bookmarkStart w:id="153"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39">
        <w:r>
          <w:rPr>
            <w:rStyle w:val="Hipervnculo"/>
          </w:rPr>
          <w:t xml:space="preserve">Bloques de Construcción Requeridos por Arquitectura, en Flujos de Trabajo Oficina de Arquitectura</w:t>
        </w:r>
      </w:hyperlink>
      <w:r>
        <w:t xml:space="preserve">)</w:t>
      </w:r>
    </w:p>
    <w:bookmarkEnd w:id="153"/>
    <w:bookmarkStart w:id="154"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42">
        <w:r>
          <w:rPr>
            <w:rStyle w:val="Hipervnculo"/>
          </w:rPr>
          <w:t xml:space="preserve">Políticas de la Oficina de Arquitectura del FNA</w:t>
        </w:r>
      </w:hyperlink>
      <w:r>
        <w:t xml:space="preserve">).</w:t>
      </w:r>
    </w:p>
    <w:p>
      <w:pPr>
        <w:pStyle w:val="Textoindependiente"/>
      </w:pPr>
    </w:p>
    <w:bookmarkEnd w:id="154"/>
    <w:bookmarkEnd w:id="155"/>
    <w:bookmarkEnd w:id="156"/>
    <w:bookmarkStart w:id="162" w:name="X7581b58f83108a59ee3164c850498b80543dad9"/>
    <w:p>
      <w:pPr>
        <w:pStyle w:val="Ttulo1"/>
      </w:pPr>
      <w:r>
        <w:t xml:space="preserve">Diseño de los Procesos y Responsabilidades del Comité de Gobierno de Arquitectura FNA</w:t>
      </w:r>
    </w:p>
    <w:bookmarkStart w:id="161" w:name="referencias"/>
    <w:p>
      <w:pPr>
        <w:pStyle w:val="Ttulo2"/>
      </w:pPr>
      <w:r>
        <w:t xml:space="preserve">Referencias</w:t>
      </w:r>
    </w:p>
    <w:bookmarkStart w:id="157" w:name="refs"/>
    <w:p>
      <w:pPr>
        <w:pStyle w:val="Bibliography"/>
      </w:pPr>
      <w:r>
        <w:t xml:space="preserve">E-Service. Situación SOA Actual del FNA. Etapa I. (2022).</w:t>
      </w:r>
    </w:p>
    <w:bookmarkEnd w:id="157"/>
    <w:bookmarkStart w:id="158" w:name="refs"/>
    <w:p>
      <w:pPr>
        <w:pStyle w:val="Bibliography"/>
      </w:pPr>
      <w:r>
        <w:t xml:space="preserve">E-Service. Arquitectura de Referencia del FNA. Etapa II. (2023).</w:t>
      </w:r>
    </w:p>
    <w:bookmarkEnd w:id="158"/>
    <w:bookmarkStart w:id="159" w:name="refs"/>
    <w:p>
      <w:pPr>
        <w:pStyle w:val="Bibliography"/>
      </w:pPr>
      <w:r>
        <w:t xml:space="preserve">E-Service. Hoja de Ruta e Iniciativas. Etapa III. (2023).</w:t>
      </w:r>
    </w:p>
    <w:bookmarkEnd w:id="159"/>
    <w:bookmarkStart w:id="160" w:name="refs"/>
    <w:p>
      <w:pPr>
        <w:pStyle w:val="Bibliography"/>
      </w:pPr>
      <w:r>
        <w:t xml:space="preserve">TOGAF 9.1. Risk Management (2023). En https://pubs.opengroup.org/architecture/togaf9-doc/arch/chap27.html</w:t>
      </w:r>
    </w:p>
    <w:bookmarkEnd w:id="160"/>
    <w:bookmarkEnd w:id="161"/>
    <w:bookmarkEnd w:id="1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Niveles de detalle de la ingeniería: https://editeca.com/lod-nivel-de-desarrollo/</w:t>
      </w:r>
    </w:p>
  </w:footnote>
  <w:footnote w:id="10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3" Target="media/rId133.gif"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5" Target="media/rId125.png" /><Relationship Type="http://schemas.openxmlformats.org/officeDocument/2006/relationships/image" Id="rId34" Target="media/rId34.jpg" /><Relationship Type="http://schemas.openxmlformats.org/officeDocument/2006/relationships/image" Id="rId115" Target="media/rId115.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c236b161da9367a2df4887b4cc5040ce5a7154a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c236b161da9367a2df4887b4cc5040ce5a7154a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2023-06-21T18:32:27Z</dcterms:created>
  <dcterms:modified xsi:type="dcterms:W3CDTF">2023-06-21T18:32:27Z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