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62.png" ContentType="image/png"/>
  <Override PartName="/word/media/rId67.png" ContentType="image/png"/>
  <Override PartName="/word/media/rId45.png" ContentType="image/png"/>
  <Override PartName="/word/media/rId51.png" ContentType="image/png"/>
  <Override PartName="/word/media/rId34.jpg" ContentType="image/jpe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p>
      <w:pPr>
        <w:pStyle w:val="FirstParagraph"/>
      </w:pPr>
      <w:r>
        <w:t xml:space="preserve">Este producto PR02 (</w:t>
      </w:r>
      <w:hyperlink r:id="rId20">
        <w:r>
          <w:rPr>
            <w:rStyle w:val="Hipervnculo"/>
          </w:rPr>
          <w:t xml:space="preserve">Web</w:t>
        </w:r>
      </w:hyperlink>
      <w:r>
        <w:t xml:space="preserve">)</w:t>
      </w:r>
      <w:r>
        <w:t xml:space="preserve"> </w:t>
      </w:r>
      <w:r>
        <w:t xml:space="preserve">está basada en el resultado de la consultoría</w:t>
      </w:r>
      <w:r>
        <w:t xml:space="preserve"> </w:t>
      </w:r>
      <w:r>
        <w:t xml:space="preserve">“</w:t>
      </w:r>
      <w:r>
        <w:t xml:space="preserve">Arquitectura E-Service</w:t>
      </w:r>
      <w:r>
        <w:t xml:space="preserve">”</w:t>
      </w:r>
      <w:r>
        <w:t xml:space="preserve">,</w:t>
      </w:r>
      <w:r>
        <w:t xml:space="preserve"> </w:t>
      </w:r>
      <w:hyperlink r:id="rId21">
        <w:r>
          <w:rPr>
            <w:rStyle w:val="Hipervnculo"/>
          </w:rPr>
          <w:t xml:space="preserve">Sharepoint STEF@c26b803</w:t>
        </w:r>
      </w:hyperlink>
      <w:r>
        <w:t xml:space="preserve"> </w:t>
      </w:r>
      <w:r>
        <w:t xml:space="preserve">del June 14, 2023.</w:t>
      </w:r>
      <w:r>
        <w:t xml:space="preserve"> </w:t>
      </w:r>
    </w:p>
    <w:p>
      <w:pPr>
        <w:pStyle w:val="Textoindependiente"/>
      </w:pPr>
      <w:r>
        <w:t xml:space="preserve">   </w:t>
      </w:r>
      <w:r>
        <w:rPr>
          <w:bCs/>
          <w:b/>
        </w:rPr>
        <w:t xml:space="preserve">Versión</w:t>
      </w:r>
      <w:r>
        <w:t xml:space="preserve"> </w:t>
      </w:r>
      <w:r>
        <w:t xml:space="preserve">del producto 1.c26b803 de 14 Jun 2023</w:t>
      </w:r>
    </w:p>
    <w:p>
      <w:pPr>
        <w:pStyle w:val="Textoindependiente"/>
      </w:pPr>
    </w:p>
    <w:bookmarkStart w:id="27" w:name="autores"/>
    <w:p>
      <w:pPr>
        <w:pStyle w:val="Ttulo2"/>
      </w:pPr>
      <w:r>
        <w:t xml:space="preserve">Autores</w:t>
      </w:r>
    </w:p>
    <w:p>
      <w:pPr>
        <w:numPr>
          <w:ilvl w:val="0"/>
          <w:numId w:val="1001"/>
        </w:numPr>
      </w:pPr>
      <w:r>
        <w:rPr>
          <w:bCs/>
          <w:b/>
        </w:rPr>
        <w:t xml:space="preserve">Harry Wong, ing.</w:t>
      </w:r>
      <w:r>
        <w:t xml:space="preserve"> </w:t>
      </w:r>
      <w:r>
        <w:t xml:space="preserve"> </w:t>
      </w:r>
      <w:r>
        <w:t xml:space="preserve">·</w:t>
      </w:r>
      <w:r>
        <w:t xml:space="preserve"> </w:t>
      </w:r>
      <w:r>
        <w:t xml:space="preserve">Usuario</w:t>
      </w:r>
      <w:r>
        <w:t xml:space="preserve"> </w:t>
      </w:r>
      <w:hyperlink r:id="rId22">
        <w:r>
          <w:rPr>
            <w:rStyle w:val="Hipervnculo"/>
          </w:rPr>
          <w:t xml:space="preserve">e_hwong</w:t>
        </w:r>
      </w:hyperlink>
      <w:r>
        <w:t xml:space="preserve"> </w:t>
      </w:r>
      <w:r>
        <w:t xml:space="preserve"> </w:t>
      </w:r>
      <w:r>
        <w:t xml:space="preserve"> </w:t>
      </w:r>
      <w:r>
        <w:t xml:space="preserve">Arquitecto SOA, Stefanini</w:t>
      </w:r>
      <w:r>
        <w:t xml:space="preserve"> </w:t>
      </w:r>
    </w:p>
    <w:p>
      <w:pPr>
        <w:numPr>
          <w:ilvl w:val="0"/>
          <w:numId w:val="1001"/>
        </w:numPr>
      </w:pPr>
      <w:r>
        <w:rPr>
          <w:bCs/>
          <w:b/>
        </w:rPr>
        <w:t xml:space="preserve">Wilson Morales, ing.</w:t>
      </w:r>
      <w:r>
        <w:t xml:space="preserve"> </w:t>
      </w:r>
      <w:r>
        <w:t xml:space="preserve"> </w:t>
      </w:r>
      <w:r>
        <w:t xml:space="preserve">·</w:t>
      </w:r>
      <w:r>
        <w:t xml:space="preserve"> </w:t>
      </w:r>
      <w:r>
        <w:t xml:space="preserve">Usuario</w:t>
      </w:r>
      <w:r>
        <w:t xml:space="preserve"> </w:t>
      </w:r>
      <w:hyperlink r:id="rId23">
        <w:r>
          <w:rPr>
            <w:rStyle w:val="Hipervnculo"/>
          </w:rPr>
          <w:t xml:space="preserve">wmorales</w:t>
        </w:r>
      </w:hyperlink>
      <w:r>
        <w:t xml:space="preserve"> </w:t>
      </w:r>
      <w:r>
        <w:t xml:space="preserve"> </w:t>
      </w:r>
      <w:r>
        <w:t xml:space="preserve"> </w:t>
      </w:r>
      <w:r>
        <w:t xml:space="preserve">Software, Aplicaciones</w:t>
      </w:r>
      <w:r>
        <w:t xml:space="preserve"> </w:t>
      </w:r>
    </w:p>
    <w:p>
      <w:pPr>
        <w:numPr>
          <w:ilvl w:val="0"/>
          <w:numId w:val="1001"/>
        </w:numPr>
      </w:pPr>
      <w:r>
        <w:rPr>
          <w:bCs/>
          <w:b/>
        </w:rPr>
        <w:t xml:space="preserve">Flavio Hernandez, ing.</w:t>
      </w:r>
      <w:r>
        <w:t xml:space="preserve"> </w:t>
      </w:r>
      <w:r>
        <w:t xml:space="preserve"> </w:t>
      </w:r>
      <w:r>
        <w:t xml:space="preserve">·</w:t>
      </w:r>
      <w:r>
        <w:t xml:space="preserve"> </w:t>
      </w:r>
      <w:r>
        <w:t xml:space="preserve">Usuario</w:t>
      </w:r>
      <w:r>
        <w:t xml:space="preserve"> </w:t>
      </w:r>
      <w:hyperlink r:id="rId24">
        <w:r>
          <w:rPr>
            <w:rStyle w:val="Hipervnculo"/>
          </w:rPr>
          <w:t xml:space="preserve">fhernandez</w:t>
        </w:r>
      </w:hyperlink>
      <w:r>
        <w:t xml:space="preserve"> </w:t>
      </w:r>
      <w:r>
        <w:t xml:space="preserve"> </w:t>
      </w:r>
      <w:r>
        <w:t xml:space="preserve"> </w:t>
      </w:r>
      <w:r>
        <w:t xml:space="preserve">SOA, Arquitectura</w:t>
      </w:r>
      <w:r>
        <w:t xml:space="preserve"> </w:t>
      </w:r>
    </w:p>
    <w:p>
      <w:pPr>
        <w:numPr>
          <w:ilvl w:val="0"/>
          <w:numId w:val="1001"/>
        </w:numPr>
      </w:pPr>
      <w:r>
        <w:rPr>
          <w:bCs/>
          <w:b/>
        </w:rPr>
        <w:t xml:space="preserve">Viviana M. Martinez, ing.</w:t>
      </w:r>
      <w:r>
        <w:t xml:space="preserve"> </w:t>
      </w:r>
      <w:r>
        <w:t xml:space="preserve"> </w:t>
      </w:r>
      <w:r>
        <w:t xml:space="preserve">·</w:t>
      </w:r>
      <w:r>
        <w:t xml:space="preserve"> </w:t>
      </w:r>
      <w:r>
        <w:t xml:space="preserve">Usuario</w:t>
      </w:r>
      <w:r>
        <w:t xml:space="preserve"> </w:t>
      </w:r>
      <w:hyperlink r:id="rId25">
        <w:r>
          <w:rPr>
            <w:rStyle w:val="Hipervnculo"/>
          </w:rPr>
          <w:t xml:space="preserve">vmmartinez</w:t>
        </w:r>
      </w:hyperlink>
      <w:r>
        <w:t xml:space="preserve"> </w:t>
      </w:r>
      <w:r>
        <w:t xml:space="preserve"> </w:t>
      </w:r>
      <w:r>
        <w:t xml:space="preserve"> </w:t>
      </w:r>
      <w:r>
        <w:t xml:space="preserve">Analista, Proyectos</w:t>
      </w:r>
      <w:r>
        <w:t xml:space="preserve"> </w:t>
      </w:r>
    </w:p>
    <w:bookmarkStart w:id="26" w:name="correspondence"/>
    <w:p>
      <w:pPr>
        <w:pStyle w:val="FirstParagraph"/>
      </w:pPr>
      <w:r>
        <w:t xml:space="preserve">✉ — Enviar mensajes a Harry Wong, ing. &lt;e_hwong@stefanini.com&gt;.</w:t>
      </w:r>
    </w:p>
    <w:bookmarkEnd w:id="26"/>
    <w:p>
      <w:pPr>
        <w:pStyle w:val="Textoindependiente"/>
      </w:pPr>
    </w:p>
    <w:bookmarkEnd w:id="27"/>
    <w:bookmarkStart w:id="28" w:name="objetivo-del-documento"/>
    <w:p>
      <w:pPr>
        <w:pStyle w:val="Ttulo2"/>
      </w:pPr>
      <w:r>
        <w:t xml:space="preserve">Objetivo del Documento</w:t>
      </w:r>
    </w:p>
    <w:p>
      <w:pPr>
        <w:pStyle w:val="FirstParagraph"/>
      </w:pPr>
      <w:r>
        <w:t xml:space="preserve">Entrega del producto 2 (PR02) del proyecto Gobierno SOA: Políticas, flujos de trabajo y personas que ejercitan y conforman (cumplen) con el gobierno SOA del FNA a desplegar a cargo de la oficina de arquitectura.</w:t>
      </w:r>
    </w:p>
    <w:bookmarkEnd w:id="28"/>
    <w:bookmarkStart w:id="30" w:name="control-de-cambios"/>
    <w:p>
      <w:pPr>
        <w:pStyle w:val="Ttulo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PRY01 Gobierno SOA FNA</w:t>
            </w:r>
          </w:p>
        </w:tc>
      </w:tr>
      <w:tr>
        <w:tc>
          <w:tcPr/>
          <w:p>
            <w:pPr>
              <w:pStyle w:val="Compact"/>
              <w:jc w:val="left"/>
            </w:pPr>
            <w:r>
              <w:t xml:space="preserve">Palabras clave</w:t>
            </w:r>
          </w:p>
        </w:tc>
        <w:tc>
          <w:tcPr/>
          <w:p>
            <w:pPr>
              <w:pStyle w:val="Compact"/>
              <w:jc w:val="left"/>
            </w:pPr>
            <w:r>
              <w:t xml:space="preserve">SOA, E-Service, FNA,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t xml:space="preserve">1.c26b803 del 14 Jun 2023</w:t>
            </w:r>
          </w:p>
        </w:tc>
      </w:tr>
      <w:tr>
        <w:tc>
          <w:tcPr/>
          <w:p>
            <w:pPr>
              <w:pStyle w:val="Compact"/>
              <w:jc w:val="left"/>
            </w:pPr>
            <w:r>
              <w:t xml:space="preserve">Vínculos</w:t>
            </w:r>
          </w:p>
        </w:tc>
        <w:tc>
          <w:tcPr/>
          <w:p>
            <w:pPr>
              <w:pStyle w:val="Compact"/>
              <w:jc w:val="left"/>
            </w:pPr>
            <w:hyperlink r:id="rId29">
              <w:r>
                <w:rPr>
                  <w:rStyle w:val="Hipervnculo"/>
                </w:rPr>
                <w:t xml:space="preserve">N003a Vista Segmento SOA FNA</w:t>
              </w:r>
            </w:hyperlink>
          </w:p>
        </w:tc>
      </w:tr>
    </w:tbl>
    <w:p>
      <w:pPr>
        <w:pStyle w:val="Textoindependiente"/>
      </w:pPr>
    </w:p>
    <w:p>
      <w:pPr>
        <w:pStyle w:val="Textoindependiente"/>
      </w:pPr>
    </w:p>
    <w:p>
      <w:r>
        <w:pict>
          <v:rect style="width:0;height:1.5pt" o:hralign="center" o:hrstd="t" o:hr="t"/>
        </w:pict>
      </w:r>
    </w:p>
    <w:p>
      <w:pPr>
        <w:pStyle w:val="FirstParagraph"/>
      </w:pPr>
      <w:r>
        <w:t xml:space="preserve">{.page_break_before}</w:t>
      </w:r>
    </w:p>
    <w:p>
      <w:pPr>
        <w:pStyle w:val="Textodebloque"/>
      </w:pPr>
      <w:r>
        <w:t xml:space="preserve">E-Service. Fase II</w:t>
      </w:r>
    </w:p>
    <w:p>
      <w:pPr>
        <w:pStyle w:val="Textodebloque"/>
      </w:pPr>
      <w:r>
        <w:t xml:space="preserve">PRY01 Gobierno SOA. Contenido de los Productos Contractuales</w:t>
      </w:r>
    </w:p>
    <w:p>
      <w:pPr>
        <w:pStyle w:val="Textodebloque"/>
      </w:pPr>
      <w:r>
        <w:t xml:space="preserve">Contrato 1812020</w:t>
      </w:r>
    </w:p>
    <w:p>
      <w:pPr>
        <w:pStyle w:val="Textodebloque"/>
      </w:pPr>
      <w:r>
        <w:t xml:space="preserve">FNA, Stefanini</w:t>
      </w:r>
    </w:p>
    <w:p>
      <w:pPr>
        <w:pStyle w:val="Textodebloque"/>
      </w:pPr>
      <w:r>
        <w:t xml:space="preserve">14 Jun 2023</w:t>
      </w:r>
    </w:p>
    <w:p>
      <w:pPr>
        <w:pStyle w:val="Textodebloque"/>
      </w:pPr>
      <w:r>
        <w:rPr>
          <w:bCs/>
          <w:b/>
        </w:rPr>
        <w:t xml:space="preserve">Versión</w:t>
      </w:r>
      <w:r>
        <w:t xml:space="preserve"> </w:t>
      </w:r>
      <w:r>
        <w:t xml:space="preserve">1.c26b803</w:t>
      </w:r>
    </w:p>
    <w:p>
      <w:pPr>
        <w:pStyle w:val="FirstParagraph"/>
      </w:pPr>
    </w:p>
    <w:bookmarkEnd w:id="30"/>
    <w:bookmarkStart w:id="85" w:name="Xdda5c74ac564ff62fba556343a9eb1a85a19480"/>
    <w:p>
      <w:pPr>
        <w:pStyle w:val="Ttulo1"/>
      </w:pPr>
      <w:r>
        <w:t xml:space="preserve">Producto 2: PR02. Modelo de Gobierno. Detalle de los recursos, herramientas, roles y participantes del gobierno SOA</w:t>
      </w:r>
    </w:p>
    <w:p>
      <w:pPr>
        <w:pStyle w:val="FirstParagraph"/>
      </w:pPr>
      <w:r>
        <w:t xml:space="preserve">Políticas y procedimiento, paquetes de trabajo, identificación de personas, roles y herramientas a desplegar a cargo de la oficina de arquitectura del FNA por concepto de la instauración del gobierno.</w:t>
      </w:r>
    </w:p>
    <w:p>
      <w:pPr>
        <w:pStyle w:val="Textoindependiente"/>
      </w:pPr>
      <w:r>
        <w:rPr>
          <w:bCs/>
          <w:b/>
        </w:rPr>
        <w:t xml:space="preserve">Nota</w:t>
      </w:r>
      <w:r>
        <w:t xml:space="preserve">: los análisis de este producto están dirigidos a cumplir los objetivos del proyecto PRY01, Gobierno SOA: desarrollo, gestión, gobierno de arquitectura y adopción.</w:t>
      </w:r>
    </w:p>
    <w:p>
      <w:pPr>
        <w:pStyle w:val="Textoindependiente"/>
      </w:pPr>
    </w:p>
    <w:bookmarkStart w:id="31" w:name="justificación"/>
    <w:p>
      <w:pPr>
        <w:pStyle w:val="Ttulo2"/>
      </w:pPr>
      <w:r>
        <w:t xml:space="preserve">Justificación</w:t>
      </w:r>
    </w:p>
    <w:p>
      <w:pPr>
        <w:pStyle w:val="FirstParagraph"/>
      </w:pPr>
      <w:r>
        <w:t xml:space="preserve">El resultados del análisis de riesgos técnicos realizado en la Fase I de la consultoría E-Service, causados en parte por los retos de complejidad y agilidad que enfrenta el FNA, los cuales configuran una red de aplicaciones y servicios que aumenta el impacto, el esfuerzo y la incertidumbre de los cambios en las arquitecturas del Fondo, obliga a crear la oficina de arquitectua del FNA y a desplegar las mejoras en los flujos críticos de trabajo a cargo esta.</w:t>
      </w:r>
    </w:p>
    <w:bookmarkEnd w:id="31"/>
    <w:bookmarkStart w:id="32" w:name="contenidos"/>
    <w:p>
      <w:pPr>
        <w:pStyle w:val="Ttulo2"/>
      </w:pPr>
      <w:r>
        <w:t xml:space="preserve">Contenidos</w:t>
      </w:r>
    </w:p>
    <w:p>
      <w:pPr>
        <w:numPr>
          <w:ilvl w:val="0"/>
          <w:numId w:val="1002"/>
        </w:numPr>
        <w:pStyle w:val="Compact"/>
      </w:pPr>
      <w:r>
        <w:t xml:space="preserve">Modelo de gobierno SOA del FNA: actores, información y procedimientos</w:t>
      </w:r>
    </w:p>
    <w:p>
      <w:pPr>
        <w:numPr>
          <w:ilvl w:val="0"/>
          <w:numId w:val="1002"/>
        </w:numPr>
        <w:pStyle w:val="Compact"/>
      </w:pPr>
      <w:r>
        <w:t xml:space="preserve">Flujo de trabajo de oficina de arquitectura del FNA</w:t>
      </w:r>
    </w:p>
    <w:p>
      <w:pPr>
        <w:numPr>
          <w:ilvl w:val="0"/>
          <w:numId w:val="1002"/>
        </w:numPr>
        <w:pStyle w:val="Compact"/>
      </w:pPr>
      <w:r>
        <w:t xml:space="preserve">Matriz de responsabilidades oficina de arquitectura</w:t>
      </w:r>
    </w:p>
    <w:p>
      <w:pPr>
        <w:numPr>
          <w:ilvl w:val="0"/>
          <w:numId w:val="1002"/>
        </w:numPr>
        <w:pStyle w:val="Compact"/>
      </w:pPr>
      <w:r>
        <w:t xml:space="preserve">Procedimientos base del modelo de gobierno / oficina de arquitectura</w:t>
      </w:r>
    </w:p>
    <w:p>
      <w:pPr>
        <w:numPr>
          <w:ilvl w:val="0"/>
          <w:numId w:val="1002"/>
        </w:numPr>
        <w:pStyle w:val="Compact"/>
      </w:pPr>
      <w:r>
        <w:t xml:space="preserve">Anexos. Referencia documental del Gobierno SOA del FNA</w:t>
      </w:r>
    </w:p>
    <w:p>
      <w:pPr>
        <w:pStyle w:val="FirstParagraph"/>
      </w:pPr>
    </w:p>
    <w:bookmarkEnd w:id="32"/>
    <w:bookmarkStart w:id="33" w:name="criterios-de-aceptación"/>
    <w:p>
      <w:pPr>
        <w:pStyle w:val="Ttulo2"/>
      </w:pPr>
      <w:r>
        <w:t xml:space="preserve">Criterios de Aceptación</w:t>
      </w:r>
    </w:p>
    <w:p>
      <w:pPr>
        <w:numPr>
          <w:ilvl w:val="0"/>
          <w:numId w:val="1003"/>
        </w:numPr>
        <w:pStyle w:val="Compact"/>
      </w:pPr>
      <w:r>
        <w:t xml:space="preserve">Entendimiento funcional y operativa de la oficina de arquitectura FNA</w:t>
      </w:r>
    </w:p>
    <w:p>
      <w:pPr>
        <w:numPr>
          <w:ilvl w:val="0"/>
          <w:numId w:val="1003"/>
        </w:numPr>
        <w:pStyle w:val="Compact"/>
      </w:pPr>
      <w:r>
        <w:t xml:space="preserve">Matriz de roles y procedimientos de la oficina de arquitetura FNA</w:t>
      </w:r>
    </w:p>
    <w:p>
      <w:pPr>
        <w:pStyle w:val="FirstParagraph"/>
      </w:pPr>
    </w:p>
    <w:bookmarkEnd w:id="33"/>
    <w:bookmarkStart w:id="40" w:name="modelo-de-implementación-del-pry01"/>
    <w:p>
      <w:pPr>
        <w:pStyle w:val="Ttulo2"/>
      </w:pPr>
      <w:r>
        <w:t xml:space="preserve">Modelo de Implementación del PRY01</w:t>
      </w:r>
    </w:p>
    <w:bookmarkStart w:id="0" w:name="fig:bfe2baca-4910-4c09-951d-42492f5e4f1d"/>
    <w:p>
      <w:pPr>
        <w:pStyle w:val="CaptionedFigure"/>
      </w:pPr>
      <w:bookmarkStart w:id="37" w:name="fig:"/>
      <w:r>
        <w:drawing>
          <wp:inline>
            <wp:extent cx="5600700" cy="4499951"/>
            <wp:effectExtent b="0" l="0" r="0" t="0"/>
            <wp:docPr descr="Imagen 1: Plan de Implementación del Proyecto Hoja de Ruta E-Service FNA, 2023. Abril 2023 a Agosto 2023" title="" id="35" name="Picture"/>
            <a:graphic>
              <a:graphicData uri="http://schemas.openxmlformats.org/drawingml/2006/picture">
                <pic:pic>
                  <pic:nvPicPr>
                    <pic:cNvPr descr="images/pry1gobierno.jpg" id="36" name="Picture"/>
                    <pic:cNvPicPr>
                      <a:picLocks noChangeArrowheads="1" noChangeAspect="1"/>
                    </pic:cNvPicPr>
                  </pic:nvPicPr>
                  <pic:blipFill>
                    <a:blip r:embed="rId34"/>
                    <a:stretch>
                      <a:fillRect/>
                    </a:stretch>
                  </pic:blipFill>
                  <pic:spPr bwMode="auto">
                    <a:xfrm>
                      <a:off x="0" y="0"/>
                      <a:ext cx="5600700" cy="4499951"/>
                    </a:xfrm>
                    <a:prstGeom prst="rect">
                      <a:avLst/>
                    </a:prstGeom>
                    <a:noFill/>
                    <a:ln w="9525">
                      <a:noFill/>
                      <a:headEnd/>
                      <a:tailEnd/>
                    </a:ln>
                  </pic:spPr>
                </pic:pic>
              </a:graphicData>
            </a:graphic>
          </wp:inline>
        </w:drawing>
      </w:r>
      <w:bookmarkEnd w:id="37"/>
    </w:p>
    <w:p>
      <w:pPr>
        <w:pStyle w:val="ImageCaption"/>
      </w:pPr>
      <w:r>
        <w:t xml:space="preserve">Imagen 1: Plan de Implementación del Proyecto Hoja de Ruta E-Service FNA, 2023. Abril 2023 a Agosto 2023</w:t>
      </w:r>
    </w:p>
    <w:bookmarkEnd w:id="0"/>
    <w:p>
      <w:pPr>
        <w:pStyle w:val="Textoindependiente"/>
      </w:pPr>
      <w:r>
        <w:rPr>
          <w:iCs/>
          <w:i/>
        </w:rPr>
        <w:t xml:space="preserve">Fuente: Elaboración propia.</w:t>
      </w:r>
    </w:p>
    <w:p>
      <w:pPr>
        <w:pStyle w:val="Textoindependiente"/>
      </w:pPr>
    </w:p>
    <w:p>
      <w:r>
        <w:pict>
          <v:rect style="width:0;height:1.5pt" o:hralign="center" o:hrstd="t" o:hr="t"/>
        </w:pict>
      </w:r>
    </w:p>
    <w:tbl>
      <w:tblPr>
        <w:tblStyle w:val="Table"/>
        <w:tblW w:type="pct" w:w="5000"/>
        <w:tblLook w:firstRow="1" w:lastRow="0" w:firstColumn="0" w:lastColumn="0" w:noHBand="0" w:noVBand="0" w:val="0020"/>
      </w:tblPr>
      <w:tblGrid>
        <w:gridCol w:w="997"/>
        <w:gridCol w:w="6922"/>
      </w:tblGrid>
      <w:tr>
        <w:trPr>
          <w:tblHeader w:val="true"/>
        </w:trPr>
        <w:tc>
          <w:tcPr/>
          <w:p>
            <w:pPr>
              <w:pStyle w:val="Compact"/>
              <w:jc w:val="left"/>
            </w:pPr>
            <w:r>
              <w:t xml:space="preserve">Tema</w:t>
            </w:r>
          </w:p>
        </w:tc>
        <w:tc>
          <w:tcPr/>
          <w:p>
            <w:pPr>
              <w:pStyle w:val="Compact"/>
              <w:jc w:val="left"/>
            </w:pPr>
            <w:r>
              <w:t xml:space="preserve">Gobierno SOA del FNA:</w:t>
            </w:r>
            <w:r>
              <w:t xml:space="preserve"> </w:t>
            </w:r>
            <w:r>
              <w:rPr>
                <w:bCs/>
                <w:b/>
              </w:rPr>
              <w:t xml:space="preserve">Modelo de Gobierno y CCF</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1.c26b803</w:t>
            </w:r>
            <w:r>
              <w:t xml:space="preserve"> </w:t>
            </w:r>
            <w:r>
              <w:t xml:space="preserve">del 14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40"/>
    <w:bookmarkStart w:id="42" w:name="antecedentes-del-gobierno-soa-del-fna"/>
    <w:p>
      <w:pPr>
        <w:pStyle w:val="Ttulo2"/>
      </w:pPr>
      <w:r>
        <w:t xml:space="preserve">Antecedentes del Gobierno SOA del FNA</w:t>
      </w:r>
    </w:p>
    <w:p>
      <w:pPr>
        <w:pStyle w:val="FirstParagraph"/>
      </w:pPr>
      <w:r>
        <w:t xml:space="preserve">Los resultados de la consultoría E-Service, Fase I, 2022 señalan la</w:t>
      </w:r>
      <w:r>
        <w:t xml:space="preserve"> </w:t>
      </w:r>
      <w:r>
        <w:rPr>
          <w:iCs/>
          <w:i/>
        </w:rPr>
        <w:t xml:space="preserve">necesidad de manejo de la complejidad creciente en las soluciones del FNA</w:t>
      </w:r>
      <w:r>
        <w:t xml:space="preserve"> </w:t>
      </w:r>
      <w:r>
        <w:t xml:space="preserve">(ver</w:t>
      </w:r>
      <w:r>
        <w:t xml:space="preserve"> </w:t>
      </w:r>
      <w:hyperlink r:id="rId41">
        <w:r>
          <w:rPr>
            <w:rStyle w:val="Hipervnculo"/>
          </w:rPr>
          <w:t xml:space="preserve">Resultados E-Service, Fase I</w:t>
        </w:r>
      </w:hyperlink>
      <w:r>
        <w:t xml:space="preserve">). Sobre esa base, El Fondo Nacional del Ahorro estableció como pilar tecnológico la implementación obligatoria del Gobierno SOA, de forma tal, que preserve la continuidad de servicio y permita identificar y gestionar las amenazas y riesgos que impacten el desarrollo y evolución de las arquitecturas de software del Fondo, tarea base para los planes de alineación y puesta marcha de futuras soluciones y mejoras.</w:t>
      </w:r>
    </w:p>
    <w:bookmarkEnd w:id="42"/>
    <w:bookmarkStart w:id="44" w:name="X2b9097e89ebc21eed7a76907afce355aa4a3a81"/>
    <w:p>
      <w:pPr>
        <w:pStyle w:val="Ttulo2"/>
      </w:pPr>
      <w:r>
        <w:t xml:space="preserve">Modelo de Gobierno SOA del FNA: Actores, Flujos y Procedimientos</w:t>
      </w:r>
    </w:p>
    <w:p>
      <w:pPr>
        <w:pStyle w:val="FirstParagraph"/>
      </w:pPr>
      <w:r>
        <w:t xml:space="preserve">El gobierno SOA del FNA, objeto de este proyecto, tiene impacto general en la empresa. Sin embargo, se desarrolla desde un centro condicionado por el alcance de este proyecto. Esta versión del Gobierno SOA del FNA nace en las partes e ítems de la arquitectura de software y de servicios del FNA consignadas en la vista de segmento de la empresa (ver Vista de Contextual, segmento de la empresa,</w:t>
      </w:r>
      <w:r>
        <w:t xml:space="preserve"> </w:t>
      </w:r>
      <w:hyperlink r:id="rId43">
        <w:r>
          <w:rPr>
            <w:rStyle w:val="Hipervnculo"/>
          </w:rPr>
          <w:t xml:space="preserve">PR01. E-Service, Fase II</w:t>
        </w:r>
      </w:hyperlink>
      <w:r>
        <w:t xml:space="preserve">) pero no se queda ahí. Se extiende a actores, a interesados, a usuarios y entidades relacionados con aquellas partes de la arquitectura del FNA.</w:t>
      </w:r>
    </w:p>
    <w:p>
      <w:pPr>
        <w:pStyle w:val="Textoindependiente"/>
      </w:pPr>
      <w:r>
        <w:t xml:space="preserve">A cotinuación presentamos el modelo base de gobierno para el FNA, primera edición, versión 0.1.</w:t>
      </w:r>
    </w:p>
    <w:bookmarkEnd w:id="44"/>
    <w:bookmarkStart w:id="49" w:name="X37dedd9531ba7707d053a034ec51711cb867837"/>
    <w:p>
      <w:pPr>
        <w:pStyle w:val="Ttulo2"/>
      </w:pPr>
      <w:r>
        <w:t xml:space="preserve">Modelo de Gobierno SOA del FNA. Versión 0.2</w:t>
      </w:r>
    </w:p>
    <w:p>
      <w:pPr>
        <w:pStyle w:val="FirstParagraph"/>
      </w:pPr>
      <w:r>
        <w:t xml:space="preserve">La versión inicial del modelo de Gobierno SOA del FNA, propuesto en la Fase I de E-Service establece apenas las bases de lo que debe ser un marco de trabajo para gobierno SOA del FNA. Esta versión hace foco en un asunto general:</w:t>
      </w:r>
      <w:r>
        <w:t xml:space="preserve"> </w:t>
      </w:r>
      <w:r>
        <w:rPr>
          <w:iCs/>
          <w:i/>
        </w:rPr>
        <w:t xml:space="preserve">responder y gestionar la evolutición de la arquitectura de referencia SOA actual del Fondo Nacional del Ahorro</w:t>
      </w:r>
      <w:r>
        <w:t xml:space="preserve">, y deja para siguientes versiones de este marco de trabajo de gobierno SOA la inclusión de otras problemáticas que demanden mayor gobierno.</w:t>
      </w:r>
    </w:p>
    <w:bookmarkStart w:id="0" w:name="fig:eeab5f67-448c-4541-bf8f-405542cac10a"/>
    <w:p>
      <w:pPr>
        <w:pStyle w:val="CaptionedFigure"/>
      </w:pPr>
      <w:bookmarkStart w:id="48" w:name="fig:"/>
      <w:r>
        <w:drawing>
          <wp:inline>
            <wp:extent cx="5600700" cy="4485837"/>
            <wp:effectExtent b="0" l="0" r="0" t="0"/>
            <wp:docPr descr="Imagen 2: Modelo de Gobierno SOA del FNA, emisión inicial, versión 0.2. Gestiona la evolución de las arquitecturas de servicios SOA." title="" id="46" name="Picture"/>
            <a:graphic>
              <a:graphicData uri="http://schemas.openxmlformats.org/drawingml/2006/picture">
                <pic:pic>
                  <pic:nvPicPr>
                    <pic:cNvPr descr="images/modelo-gob.png" id="47" name="Picture"/>
                    <pic:cNvPicPr>
                      <a:picLocks noChangeArrowheads="1" noChangeAspect="1"/>
                    </pic:cNvPicPr>
                  </pic:nvPicPr>
                  <pic:blipFill>
                    <a:blip r:embed="rId45"/>
                    <a:stretch>
                      <a:fillRect/>
                    </a:stretch>
                  </pic:blipFill>
                  <pic:spPr bwMode="auto">
                    <a:xfrm>
                      <a:off x="0" y="0"/>
                      <a:ext cx="5600700" cy="4485837"/>
                    </a:xfrm>
                    <a:prstGeom prst="rect">
                      <a:avLst/>
                    </a:prstGeom>
                    <a:noFill/>
                    <a:ln w="9525">
                      <a:noFill/>
                      <a:headEnd/>
                      <a:tailEnd/>
                    </a:ln>
                  </pic:spPr>
                </pic:pic>
              </a:graphicData>
            </a:graphic>
          </wp:inline>
        </w:drawing>
      </w:r>
      <w:bookmarkEnd w:id="48"/>
    </w:p>
    <w:p>
      <w:pPr>
        <w:pStyle w:val="ImageCaption"/>
      </w:pPr>
      <w:r>
        <w:t xml:space="preserve">Imagen 2: Modelo de Gobierno SOA del FNA, emisión inicial, versión 0.2. Gestiona la evolución de las arquitecturas de servicios SOA.</w:t>
      </w:r>
    </w:p>
    <w:bookmarkEnd w:id="0"/>
    <w:p>
      <w:pPr>
        <w:pStyle w:val="Textoindependiente"/>
      </w:pPr>
      <w:r>
        <w:rPr>
          <w:iCs/>
          <w:i/>
        </w:rPr>
        <w:t xml:space="preserve">Fuente: Diagnóstico SOA. E-Service (2022).</w:t>
      </w:r>
    </w:p>
    <w:p>
      <w:pPr>
        <w:pStyle w:val="Textoindependiente"/>
      </w:pPr>
    </w:p>
    <w:bookmarkEnd w:id="49"/>
    <w:bookmarkStart w:id="56" w:name="Xb941bcca8629b2e870fd85bb5d07b9dfa78c272"/>
    <w:p>
      <w:pPr>
        <w:pStyle w:val="Ttulo2"/>
      </w:pPr>
      <w:r>
        <w:t xml:space="preserve">Modelo de Gobierno SOA del FNA. Versión 0.5</w:t>
      </w:r>
    </w:p>
    <w:p>
      <w:pPr>
        <w:pStyle w:val="FirstParagraph"/>
      </w:pPr>
      <w:r>
        <w:t xml:space="preserve">Ahora incorporamos en el modelo de gobierno del FNA el resultado del diagnóstico de susceptibilidad de gobierno realizado sobre los flujos críticos de trabajo elaborados en la Etapa 0 de este proyecto (ver</w:t>
      </w:r>
      <w:r>
        <w:t xml:space="preserve"> </w:t>
      </w:r>
      <w:hyperlink r:id="rId5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5390d881-2709-4ba9-bb27-7d70d2044798"/>
    <w:p>
      <w:pPr>
        <w:pStyle w:val="CaptionedFigure"/>
      </w:pPr>
      <w:bookmarkStart w:id="54" w:name="fig:"/>
      <w:r>
        <w:drawing>
          <wp:inline>
            <wp:extent cx="914400" cy="633359"/>
            <wp:effectExtent b="0" l="0" r="0" t="0"/>
            <wp:docPr descr="Imagen 3: Versión 0.5 del Modelo de Gobierno del FNA." title="" id="52" name="Picture"/>
            <a:graphic>
              <a:graphicData uri="http://schemas.openxmlformats.org/drawingml/2006/picture">
                <pic:pic>
                  <pic:nvPicPr>
                    <pic:cNvPr descr="images/modelogob05.png" id="53" name="Picture"/>
                    <pic:cNvPicPr>
                      <a:picLocks noChangeArrowheads="1" noChangeAspect="1"/>
                    </pic:cNvPicPr>
                  </pic:nvPicPr>
                  <pic:blipFill>
                    <a:blip r:embed="rId51"/>
                    <a:stretch>
                      <a:fillRect/>
                    </a:stretch>
                  </pic:blipFill>
                  <pic:spPr bwMode="auto">
                    <a:xfrm>
                      <a:off x="0" y="0"/>
                      <a:ext cx="914400" cy="633359"/>
                    </a:xfrm>
                    <a:prstGeom prst="rect">
                      <a:avLst/>
                    </a:prstGeom>
                    <a:noFill/>
                    <a:ln w="9525">
                      <a:noFill/>
                      <a:headEnd/>
                      <a:tailEnd/>
                    </a:ln>
                  </pic:spPr>
                </pic:pic>
              </a:graphicData>
            </a:graphic>
          </wp:inline>
        </w:drawing>
      </w:r>
      <w:bookmarkEnd w:id="54"/>
    </w:p>
    <w:p>
      <w:pPr>
        <w:pStyle w:val="ImageCaption"/>
      </w:pPr>
      <w:r>
        <w:t xml:space="preserve">Imagen 3: Versión 0.5 del Modelo de Gobierno del FNA.</w:t>
      </w:r>
    </w:p>
    <w:bookmarkEnd w:id="0"/>
    <w:p>
      <w:pPr>
        <w:pStyle w:val="Textoindependiente"/>
      </w:pPr>
      <w:r>
        <w:rPr>
          <w:iCs/>
          <w:i/>
        </w:rPr>
        <w:t xml:space="preserve">Fuente: Elaboración propia.</w:t>
      </w:r>
    </w:p>
    <w:p>
      <w:pPr>
        <w:pStyle w:val="Textoindependiente"/>
      </w:pPr>
    </w:p>
    <w:bookmarkStart w:id="55" w:name="Xa414ec3b4e2b3c7ebfcbcbc67ca5647409b6ff0"/>
    <w:p>
      <w:pPr>
        <w:pStyle w:val="Ttulo4"/>
      </w:pPr>
      <w:r>
        <w:t xml:space="preserve">Elementos del Modelo de Gobierno, versión 0.5</w:t>
      </w:r>
    </w:p>
    <w:tbl>
      <w:tblPr>
        <w:tblStyle w:val="Table"/>
        <w:tblW w:type="pct" w:w="5000"/>
        <w:tblLook w:firstRow="1" w:lastRow="0" w:firstColumn="0" w:lastColumn="0" w:noHBand="0" w:noVBand="0" w:val="0020"/>
      </w:tblPr>
      <w:tblGrid>
        <w:gridCol w:w="808"/>
        <w:gridCol w:w="518"/>
        <w:gridCol w:w="6344"/>
        <w:gridCol w:w="248"/>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c>
          <w:tcPr/>
          <w:p>
            <w:pPr>
              <w:pStyle w:val="Compact"/>
            </w:pPr>
          </w:p>
        </w:tc>
      </w:tr>
      <w:tr>
        <w:tc>
          <w:tcPr/>
          <w:p>
            <w:pPr>
              <w:pStyle w:val="Compact"/>
              <w:jc w:val="left"/>
            </w:pPr>
            <w:r>
              <w:t xml:space="preserve">**Arquitectura FNA</w:t>
            </w:r>
          </w:p>
        </w:tc>
        <w:tc>
          <w:tcPr/>
          <w:p>
            <w:pPr>
              <w:pStyle w:val="Compact"/>
              <w:jc w:val="left"/>
            </w:pPr>
            <w:r>
              <w:t xml:space="preserve">application-interaction</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c>
          <w:tcPr/>
          <w:p>
            <w:pPr>
              <w:pStyle w:val="Compact"/>
            </w:pP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jc w:val="left"/>
            </w:pPr>
            <w:r>
              <w:t xml:space="preserve">Métricas, Conclusiones, Decisiones.</w:t>
            </w:r>
          </w:p>
        </w:tc>
        <w:tc>
          <w:tcPr/>
          <w:p>
            <w:pPr>
              <w:pStyle w:val="Compact"/>
            </w:pP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c>
          <w:tcPr/>
          <w:p>
            <w:pPr>
              <w:pStyle w:val="Compact"/>
            </w:pP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c>
          <w:tcPr/>
          <w:p>
            <w:pPr>
              <w:pStyle w:val="Compact"/>
            </w:pP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pPr>
          </w:p>
        </w:tc>
        <w:tc>
          <w:tcPr/>
          <w:p>
            <w:pPr>
              <w:pStyle w:val="Compact"/>
            </w:pP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c>
          <w:tcPr/>
          <w:p>
            <w:pPr>
              <w:pStyle w:val="Compact"/>
            </w:pP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c>
          <w:tcPr/>
          <w:p>
            <w:pPr>
              <w:pStyle w:val="Compact"/>
            </w:pPr>
          </w:p>
        </w:tc>
      </w:tr>
      <w:tr>
        <w:tc>
          <w:tcPr/>
          <w:p>
            <w:pPr>
              <w:pStyle w:val="Compact"/>
              <w:jc w:val="left"/>
            </w:pPr>
            <w:r>
              <w:rPr>
                <w:bCs/>
                <w:b/>
              </w:rPr>
              <w:t xml:space="preserve">Decisión</w:t>
            </w:r>
          </w:p>
        </w:tc>
        <w:tc>
          <w:tcPr/>
          <w:p>
            <w:pPr>
              <w:pStyle w:val="Compact"/>
              <w:jc w:val="left"/>
            </w:pPr>
            <w:r>
              <w:t xml:space="preserve">data-object</w:t>
            </w:r>
          </w:p>
        </w:tc>
        <w:tc>
          <w:tcPr/>
          <w:p>
            <w:pPr>
              <w:pStyle w:val="Compact"/>
            </w:pP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c>
          <w:tcPr/>
          <w:p>
            <w:pPr>
              <w:pStyle w:val="Compact"/>
            </w:pPr>
          </w:p>
        </w:tc>
      </w:tr>
    </w:tbl>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p>
      <w:pPr>
        <w:pStyle w:val="Textoindependiente"/>
      </w:pPr>
      <w:r>
        <w:t xml:space="preserve">% Habits</w:t>
      </w:r>
      <w:r>
        <w:t xml:space="preserve"> </w:t>
      </w:r>
      <w:r>
        <w:t xml:space="preserve">% HWO</w:t>
      </w:r>
      <w:r>
        <w:t xml:space="preserve"> </w:t>
      </w:r>
      <w:r>
        <w:t xml:space="preserve">% Junio 2023</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Objetivos, Capacidades y Funciones del Gobierno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1.c26b803</w:t>
            </w:r>
            <w:r>
              <w:t xml:space="preserve"> </w:t>
            </w:r>
            <w:r>
              <w:t xml:space="preserve">del 14 Jun 2023</w:t>
            </w:r>
          </w:p>
        </w:tc>
      </w:tr>
      <w:tr>
        <w:tc>
          <w:tcPr/>
          <w:p>
            <w:pPr>
              <w:pStyle w:val="Compact"/>
              <w:jc w:val="left"/>
            </w:pPr>
            <w:r>
              <w:t xml:space="preserve">Vínculos</w:t>
            </w:r>
          </w:p>
        </w:tc>
        <w:tc>
          <w:tcPr/>
          <w:p>
            <w:pPr>
              <w:pStyle w:val="Compact"/>
              <w:jc w:val="left"/>
            </w:pPr>
            <w:hyperlink r:id="rId38">
              <w:r>
                <w:rPr>
                  <w:rStyle w:val="Hipervnculo"/>
                </w:rPr>
                <w:t xml:space="preserve">Ejecución Plan de Trabajo SOA</w:t>
              </w:r>
            </w:hyperlink>
            <w:r>
              <w:t xml:space="preserve">;</w:t>
            </w:r>
            <w:r>
              <w:t xml:space="preserve"> </w:t>
            </w:r>
            <w:hyperlink r:id="rId39">
              <w:r>
                <w:rPr>
                  <w:rStyle w:val="Hipervnculo"/>
                </w:rPr>
                <w:t xml:space="preserve">Procesos de Negocio FNA</w:t>
              </w:r>
            </w:hyperlink>
          </w:p>
        </w:tc>
      </w:tr>
    </w:tbl>
    <w:p>
      <w:pPr>
        <w:pStyle w:val="Textoindependiente"/>
      </w:pPr>
    </w:p>
    <w:bookmarkEnd w:id="55"/>
    <w:bookmarkEnd w:id="56"/>
    <w:bookmarkStart w:id="57" w:name="Xd4446c28c4cc2a918d752f1fc75abcca3927be6"/>
    <w:p>
      <w:pPr>
        <w:pStyle w:val="Ttulo2"/>
      </w:pPr>
      <w:r>
        <w:t xml:space="preserve">Definición de Objetivos, Funciones y Capacidades del Gobierno SOA</w:t>
      </w:r>
    </w:p>
    <w:p>
      <w:pPr>
        <w:pStyle w:val="FirstParagraph"/>
      </w:pPr>
      <w:r>
        <w:t xml:space="preserve">Los objetivos que vamos a definir para el gobierno SOA del FNA están dirigidos a las problemáticas encontradas en la Fase I, a saber:</w:t>
      </w:r>
    </w:p>
    <w:p>
      <w:pPr>
        <w:numPr>
          <w:ilvl w:val="0"/>
          <w:numId w:val="1004"/>
        </w:numPr>
        <w:pStyle w:val="SourceCode"/>
      </w:pPr>
      <w:r>
        <w:rPr>
          <w:rStyle w:val="VerbatimChar"/>
        </w:rPr>
        <w:t xml:space="preserve">Dado los niveles de complejidad que el FNA ha alcanzado y por los riesgos tecnológico que contraen las partes analizadas en la Fase 1 de este diagnóstico (...)</w:t>
      </w:r>
    </w:p>
    <w:p>
      <w:pPr>
        <w:numPr>
          <w:ilvl w:val="0"/>
          <w:numId w:val="1004"/>
        </w:numPr>
        <w:pStyle w:val="SourceCode"/>
      </w:pPr>
      <w:r>
        <w:rPr>
          <w:rStyle w:val="VerbatimChar"/>
        </w:rPr>
        <w:t xml:space="preserve">De las problemáticas encontradas en la Fase 1 del presente diagnóstico, (...))explícitamente a las que incrementan la complejidad de las soluciones tecnológicas y de software del FNA, _como lo es el manejo de dependencias de los servicios SOA del Fondo_. Es muy conocido que esta condición es la causa de la mayoría de los sobreesfuerzos en los cambios y de las dificultades a la hora de predecir su impacto.</w:t>
      </w:r>
    </w:p>
    <w:p>
      <w:pPr>
        <w:numPr>
          <w:ilvl w:val="0"/>
          <w:numId w:val="1004"/>
        </w:numPr>
        <w:pStyle w:val="SourceCode"/>
      </w:pPr>
      <w:r>
        <w:rPr>
          <w:rStyle w:val="VerbatimChar"/>
        </w:rPr>
        <w:t xml:space="preserve">(...) Estas complicaciones, que denotan un débil gobierno preexistente, se encuentran otras que fueron levantadas en la Fase 1 del diagnóstico E-Service: </w:t>
      </w:r>
      <w:r>
        <w:br/>
      </w:r>
      <w:r>
        <w:rPr>
          <w:rStyle w:val="VerbatimChar"/>
        </w:rPr>
        <w:t xml:space="preserve">- Agilidad limitada</w:t>
      </w:r>
      <w:r>
        <w:br/>
      </w:r>
      <w:r>
        <w:rPr>
          <w:rStyle w:val="VerbatimChar"/>
        </w:rPr>
        <w:t xml:space="preserve">- Complejidad e imprecisión en la trazabilidad</w:t>
      </w:r>
      <w:r>
        <w:br/>
      </w:r>
      <w:r>
        <w:rPr>
          <w:rStyle w:val="VerbatimChar"/>
        </w:rPr>
        <w:t xml:space="preserve">- Ocultamiento de funcionalidades</w:t>
      </w:r>
    </w:p>
    <w:p>
      <w:pPr>
        <w:pStyle w:val="FirstParagraph"/>
      </w:pPr>
      <w:r>
        <w:t xml:space="preserve">Ver</w:t>
      </w:r>
      <w:r>
        <w:t xml:space="preserve"> </w:t>
      </w:r>
      <w:hyperlink r:id="rId29">
        <w:r>
          <w:rPr>
            <w:rStyle w:val="Hipervnculo"/>
          </w:rPr>
          <w:t xml:space="preserve">Resumen de Fase 1</w:t>
        </w:r>
      </w:hyperlink>
      <w:r>
        <w:t xml:space="preserve">.</w:t>
      </w:r>
    </w:p>
    <w:p>
      <w:pPr>
        <w:pStyle w:val="Textoindependiente"/>
      </w:pPr>
    </w:p>
    <w:p>
      <w:pPr>
        <w:pStyle w:val="Textoindependiente"/>
      </w:pPr>
      <w:r>
        <w:t xml:space="preserve">Esto define el contexto en el cual debe operar, y enfrentar, el nuevo gobierno SOA del FNA, versión 0.5. Esto es, las funciones del gobierno que atañen directamente a la oficina de arquitectura, dado que esta es la que las debe ejecutar, son</w:t>
      </w:r>
    </w:p>
    <w:p>
      <w:pPr>
        <w:numPr>
          <w:ilvl w:val="0"/>
          <w:numId w:val="1005"/>
        </w:numPr>
        <w:pStyle w:val="Compact"/>
      </w:pPr>
      <w:r>
        <w:t xml:space="preserve">Equilibrio arquitectura y procesos SOA</w:t>
      </w:r>
    </w:p>
    <w:p>
      <w:pPr>
        <w:numPr>
          <w:ilvl w:val="0"/>
          <w:numId w:val="1005"/>
        </w:numPr>
        <w:pStyle w:val="Compact"/>
      </w:pPr>
      <w:r>
        <w:t xml:space="preserve">Supervisión de efectividad y factibilidad SOA</w:t>
      </w:r>
    </w:p>
    <w:p>
      <w:pPr>
        <w:numPr>
          <w:ilvl w:val="0"/>
          <w:numId w:val="1005"/>
        </w:numPr>
        <w:pStyle w:val="Compact"/>
      </w:pPr>
      <w:r>
        <w:t xml:space="preserve">Mejora de los índices de efectividad (madurez) SOA</w:t>
      </w:r>
    </w:p>
    <w:p>
      <w:pPr>
        <w:numPr>
          <w:ilvl w:val="0"/>
          <w:numId w:val="1005"/>
        </w:numPr>
        <w:pStyle w:val="Compact"/>
      </w:pPr>
      <w:r>
        <w:t xml:space="preserve">Consideraciones para la puesta en marcha del gobierno SOA en el FNA</w:t>
      </w:r>
    </w:p>
    <w:p>
      <w:pPr>
        <w:pStyle w:val="FirstParagraph"/>
      </w:pPr>
    </w:p>
    <w:bookmarkEnd w:id="57"/>
    <w:bookmarkStart w:id="77" w:name="funciones-del-gobierno-soa-del-fna"/>
    <w:p>
      <w:pPr>
        <w:pStyle w:val="Ttulo2"/>
      </w:pPr>
      <w:r>
        <w:t xml:space="preserve">Funciones del Gobierno SOA del FNA</w:t>
      </w:r>
    </w:p>
    <w:bookmarkStart w:id="58" w:name="equilibrio-arquitectura-y-procesos-soa"/>
    <w:p>
      <w:pPr>
        <w:pStyle w:val="Ttulo3"/>
      </w:pPr>
      <w:r>
        <w:t xml:space="preserve">Equilibrio arquitectura y procesos SOA</w:t>
      </w:r>
    </w:p>
    <w:bookmarkEnd w:id="58"/>
    <w:bookmarkStart w:id="59" w:name="X9e585d85ac198fb4fa428defd3c13593f667a0e"/>
    <w:p>
      <w:pPr>
        <w:pStyle w:val="Ttulo3"/>
      </w:pPr>
      <w:r>
        <w:t xml:space="preserve">Supervisión de efectividad y factibilidad SOA</w:t>
      </w:r>
    </w:p>
    <w:bookmarkEnd w:id="59"/>
    <w:bookmarkStart w:id="60" w:name="Xcf3fb5954575e9f517c883c7c5b2a445b0eccea"/>
    <w:p>
      <w:pPr>
        <w:pStyle w:val="Ttulo3"/>
      </w:pPr>
      <w:r>
        <w:t xml:space="preserve">Mejora de los índices de efectividad (madurez) SOA</w:t>
      </w:r>
    </w:p>
    <w:bookmarkEnd w:id="60"/>
    <w:bookmarkStart w:id="61" w:name="Xc1322487bb449403080f53ca37d5f186008267f"/>
    <w:p>
      <w:pPr>
        <w:pStyle w:val="Ttulo3"/>
      </w:pPr>
      <w:r>
        <w:t xml:space="preserve">Consideraciones para la puesta en marcha del gobierno SOA en el FNA</w:t>
      </w:r>
    </w:p>
    <w:bookmarkEnd w:id="61"/>
    <w:bookmarkStart w:id="66" w:name="X282ab52329bc258ea6e6b7c6fb425c5efc1682d"/>
    <w:p>
      <w:pPr>
        <w:pStyle w:val="Ttulo3"/>
      </w:pPr>
      <w:r>
        <w:t xml:space="preserve">Objetivos Principales del Gobierno SOA del FNA</w:t>
      </w:r>
    </w:p>
    <w:p>
      <w:pPr>
        <w:pStyle w:val="FirstParagraph"/>
      </w:pPr>
      <w:r>
        <w:t xml:space="preserve">Una vez identificadas estas problemáticas de orden mayor existentes en la empresa y que podemos resumir en tres: riesgo tecnológico, complejidad y nivel de adopción SOA presente en los desarrollos e implementaciones del FNA, el gobierno SOA propuesto para el Fondo tiene un objetivo general que es el siguiente.</w:t>
      </w:r>
    </w:p>
    <w:p>
      <w:pPr>
        <w:pStyle w:val="Textodebloque"/>
      </w:pPr>
      <w:r>
        <w:t xml:space="preserve">El gobierno SOA es el vigía de las relaciones entre las áreas de negocio (la vicepresidencia de operaciones y la vicepresidencia de crédito del FNA) y la implementación y diseño de soluciones SOA. El gobierno SOA del Fondo debe asistir en la aplicación y ejecución de un régimen (estándar) de implementación, observación y puesta en marcha de soluciones SOA.</w:t>
      </w:r>
    </w:p>
    <w:p>
      <w:pPr>
        <w:pStyle w:val="FirstParagraph"/>
      </w:pPr>
    </w:p>
    <w:p>
      <w:pPr>
        <w:pStyle w:val="Textoindependiente"/>
      </w:pPr>
      <w:r>
        <w:t xml:space="preserve">Como objetivos específicos principales debe incluir, como mínimo, los siguientes:</w:t>
      </w:r>
    </w:p>
    <w:p>
      <w:pPr>
        <w:pStyle w:val="Textoindependiente"/>
      </w:pPr>
      <w:r>
        <w:drawing>
          <wp:inline>
            <wp:extent cx="5600700" cy="3267074"/>
            <wp:effectExtent b="0" l="0" r="0" t="0"/>
            <wp:docPr descr="" title="" id="63" name="Picture"/>
            <a:graphic>
              <a:graphicData uri="http://schemas.openxmlformats.org/drawingml/2006/picture">
                <pic:pic>
                  <pic:nvPicPr>
                    <pic:cNvPr descr="images/GobiernoSOA.3n.png" id="64" name="Picture"/>
                    <pic:cNvPicPr>
                      <a:picLocks noChangeArrowheads="1" noChangeAspect="1"/>
                    </pic:cNvPicPr>
                  </pic:nvPicPr>
                  <pic:blipFill>
                    <a:blip r:embed="rId62"/>
                    <a:stretch>
                      <a:fillRect/>
                    </a:stretch>
                  </pic:blipFill>
                  <pic:spPr bwMode="auto">
                    <a:xfrm>
                      <a:off x="0" y="0"/>
                      <a:ext cx="5600700" cy="3267074"/>
                    </a:xfrm>
                    <a:prstGeom prst="rect">
                      <a:avLst/>
                    </a:prstGeom>
                    <a:noFill/>
                    <a:ln w="9525">
                      <a:noFill/>
                      <a:headEnd/>
                      <a:tailEnd/>
                    </a:ln>
                  </pic:spPr>
                </pic:pic>
              </a:graphicData>
            </a:graphic>
          </wp:inline>
        </w:drawing>
      </w:r>
      <w:r>
        <w:t xml:space="preserve"> </w:t>
      </w:r>
      <w:hyperlink r:id="rId65">
        <w:r>
          <w:rPr>
            <w:rStyle w:val="Hipervnculo"/>
          </w:rPr>
          <w:t xml:space="preserve">Imagen.</w:t>
        </w:r>
      </w:hyperlink>
      <w:r>
        <w:t xml:space="preserve"> </w:t>
      </w:r>
      <w:r>
        <w:t xml:space="preserve">Objetivos principales del gobierno SOA del FNA.</w:t>
      </w:r>
    </w:p>
    <w:p>
      <w:pPr>
        <w:pStyle w:val="Textoindependiente"/>
      </w:pPr>
      <w:r>
        <w:rPr>
          <w:iCs/>
          <w:i/>
        </w:rPr>
        <w:t xml:space="preserve">Fuente: elaboración propia.</w:t>
      </w:r>
    </w:p>
    <w:p>
      <w:pPr>
        <w:pStyle w:val="Textoindependiente"/>
      </w:pPr>
    </w:p>
    <w:p>
      <w:pPr>
        <w:numPr>
          <w:ilvl w:val="0"/>
          <w:numId w:val="1006"/>
        </w:numPr>
      </w:pPr>
      <w:r>
        <w:t xml:space="preserve">G-OBJ1. Vigilancia del riesgo tecnológico en tres vías. Primero, hacer seguimiento a la inversión tecnológica, el cual involucra a los provedores del FNA y colaboración con externos; segundo, evaluar y constatar la implementación de herramientas de software, la cual podría limitarse a servicios SOA; y finalmente, controlar la adopción de nuevos diseños, nuevos marcos de trabajo, librerías o componentes de terceros.</w:t>
      </w:r>
    </w:p>
    <w:p>
      <w:pPr>
        <w:numPr>
          <w:ilvl w:val="0"/>
          <w:numId w:val="1000"/>
        </w:numPr>
      </w:pPr>
      <w:r>
        <w:t xml:space="preserve">Del objetivo anterior (Vigilancia del riesgo tecnológico) se desprende este para enfatizar el control sobre la inversión de TI: vigilar la efectividad y factibilidad de los proyectos SOA de la organización en términos del área de efectividad del costo y factibilidad SOA. Ambos conceptos explicados en</w:t>
      </w:r>
      <w:r>
        <w:t xml:space="preserve"> </w:t>
      </w:r>
      <w:hyperlink r:id="rId29">
        <w:r>
          <w:rPr>
            <w:rStyle w:val="Hipervnculo"/>
          </w:rPr>
          <w:t xml:space="preserve">Supervisión de efectividad y factibilidad SOA</w:t>
        </w:r>
      </w:hyperlink>
      <w:r>
        <w:t xml:space="preserve">.</w:t>
      </w:r>
    </w:p>
    <w:p>
      <w:pPr>
        <w:numPr>
          <w:ilvl w:val="0"/>
          <w:numId w:val="1006"/>
        </w:numPr>
      </w:pPr>
      <w:r>
        <w:t xml:space="preserve">G-OBJ2. Vigilar el crecimiento de la complejidad y el impacto de los nuevos cambios en la arquitectura de referencia SOA del Fondo, bien sea por medio de las revisiones de diseño, el comité de arquitectura, o por el desarrollo y distribución de un catálogo de soluciones preconstruídas que alivie y guíe a las fábricas y desarrolladores que trabajan para la empresa.</w:t>
      </w:r>
    </w:p>
    <w:p>
      <w:pPr>
        <w:numPr>
          <w:ilvl w:val="0"/>
          <w:numId w:val="1006"/>
        </w:numPr>
      </w:pPr>
      <w:r>
        <w:t xml:space="preserve">G-OBJ3. Vigilar y perseguir el aumento de los índices de adopción, adaptación y efectividad SOA presentes en los análisis de madurez como el realizado en la Fase 1 del diagnóstico presente (ver</w:t>
      </w:r>
      <w:r>
        <w:t xml:space="preserve"> </w:t>
      </w:r>
      <w:hyperlink r:id="rId29">
        <w:r>
          <w:rPr>
            <w:rStyle w:val="Hipervnculo"/>
          </w:rPr>
          <w:t xml:space="preserve">02.Fase 2 PR2 Estudio Madurez SOA FNA</w:t>
        </w:r>
      </w:hyperlink>
      <w:r>
        <w:t xml:space="preserve">). Poner el marcha el proceso de gobierno SOA del FNA descrito más adelante en este ejercicio (181-2020). Adaptar y monitorear los índices de rendimiento (KPI) del proceso.</w:t>
      </w:r>
    </w:p>
    <w:p>
      <w:pPr>
        <w:pStyle w:val="FirstParagraph"/>
      </w:pPr>
    </w:p>
    <w:bookmarkEnd w:id="66"/>
    <w:bookmarkStart w:id="76" w:name="otros-objetivos-del-gobierno-soa"/>
    <w:p>
      <w:pPr>
        <w:pStyle w:val="Ttulo3"/>
      </w:pPr>
      <w:r>
        <w:t xml:space="preserve">Otros Objetivos del Gobierno SOA</w:t>
      </w:r>
    </w:p>
    <w:p>
      <w:pPr>
        <w:pStyle w:val="FirstParagraph"/>
      </w:pPr>
      <w:r>
        <w:t xml:space="preserve">Para complementar la lista de objetivos del gobierno SOA recomendados por este diagnóstico al Fondo, la lista siguiente expone objetivos que pueden ser conseguidos de forma indirecta, o con la mediación de proyectos transformadores, como la Arquitectura Empresarial, transformación digital, arquitectura de negocio, entre otros.</w:t>
      </w:r>
    </w:p>
    <w:p>
      <w:pPr>
        <w:numPr>
          <w:ilvl w:val="0"/>
          <w:numId w:val="1007"/>
        </w:numPr>
        <w:pStyle w:val="Compact"/>
      </w:pPr>
      <w:r>
        <w:t xml:space="preserve">Desde el área, o rol, de gobierno SOA del FNA, servir de guía en la entrega de soluciones de software conforme a la arquitectura de referencia estregada por esta consultoría.</w:t>
      </w:r>
    </w:p>
    <w:p>
      <w:pPr>
        <w:numPr>
          <w:ilvl w:val="0"/>
          <w:numId w:val="1007"/>
        </w:numPr>
        <w:pStyle w:val="Compact"/>
      </w:pPr>
      <w:r>
        <w:t xml:space="preserve">Informar de desviaciones en la relación de efectividad de costos de los proyectos SOA del FNA (en términos del área de inefectividad de costo e infactibilidad SOA.</w:t>
      </w:r>
    </w:p>
    <w:p>
      <w:pPr>
        <w:numPr>
          <w:ilvl w:val="0"/>
          <w:numId w:val="1007"/>
        </w:numPr>
        <w:pStyle w:val="Compact"/>
      </w:pPr>
      <w:r>
        <w:t xml:space="preserve">Hacer el seguimiento de las implementaciones de los cambios en la arquitectura de referencia: phase G, Implementation Governance, TOGAF ADM.</w:t>
      </w:r>
    </w:p>
    <w:p>
      <w:pPr>
        <w:pStyle w:val="FirstParagraph"/>
      </w:pPr>
    </w:p>
    <w:p>
      <w:pPr>
        <w:pStyle w:val="Textoindependiente"/>
      </w:pPr>
      <w:r>
        <w:t xml:space="preserve">La imagen siguiente preesenta el conjunto de objetivos principales y secundarios que el Gobierno SOA del FNA, versión 0.5, debe perseguir y cumplir.</w:t>
      </w:r>
    </w:p>
    <w:bookmarkStart w:id="0" w:name="fig:adccd6bd-86d4-414c-852a-824293bc8805"/>
    <w:p>
      <w:pPr>
        <w:pStyle w:val="CaptionedFigure"/>
      </w:pPr>
      <w:bookmarkStart w:id="70" w:name="fig:"/>
      <w:r>
        <w:drawing>
          <wp:inline>
            <wp:extent cx="5600700" cy="4177941"/>
            <wp:effectExtent b="0" l="0" r="0" t="0"/>
            <wp:docPr descr="Imagen 4: Objetivos secundarios del gobierno SOA del FNA" title="" id="68" name="Picture"/>
            <a:graphic>
              <a:graphicData uri="http://schemas.openxmlformats.org/drawingml/2006/picture">
                <pic:pic>
                  <pic:nvPicPr>
                    <pic:cNvPr descr="images/gobiernobjetivos.png" id="69" name="Picture"/>
                    <pic:cNvPicPr>
                      <a:picLocks noChangeArrowheads="1" noChangeAspect="1"/>
                    </pic:cNvPicPr>
                  </pic:nvPicPr>
                  <pic:blipFill>
                    <a:blip r:embed="rId67"/>
                    <a:stretch>
                      <a:fillRect/>
                    </a:stretch>
                  </pic:blipFill>
                  <pic:spPr bwMode="auto">
                    <a:xfrm>
                      <a:off x="0" y="0"/>
                      <a:ext cx="5600700" cy="4177941"/>
                    </a:xfrm>
                    <a:prstGeom prst="rect">
                      <a:avLst/>
                    </a:prstGeom>
                    <a:noFill/>
                    <a:ln w="9525">
                      <a:noFill/>
                      <a:headEnd/>
                      <a:tailEnd/>
                    </a:ln>
                  </pic:spPr>
                </pic:pic>
              </a:graphicData>
            </a:graphic>
          </wp:inline>
        </w:drawing>
      </w:r>
      <w:bookmarkEnd w:id="70"/>
    </w:p>
    <w:p>
      <w:pPr>
        <w:pStyle w:val="ImageCaption"/>
      </w:pPr>
      <w:r>
        <w:t xml:space="preserve">Imagen 4: Objetivos secundarios del gobierno SOA del FNA</w:t>
      </w:r>
    </w:p>
    <w:bookmarkEnd w:id="0"/>
    <w:p>
      <w:pPr>
        <w:pStyle w:val="Textoindependiente"/>
      </w:pPr>
      <w:r>
        <w:rPr>
          <w:iCs/>
          <w:i/>
        </w:rPr>
        <w:t xml:space="preserve">Fuente: Diagnóstico SOA. E-Service (2022)</w:t>
      </w:r>
    </w:p>
    <w:p>
      <w:pPr>
        <w:pStyle w:val="Textoindependiente"/>
      </w:pPr>
    </w:p>
    <w:bookmarkStart w:id="73" w:name="Xa26f50d9d2dc49753c1803d09efa61b9a7ca4e1"/>
    <w:p>
      <w:pPr>
        <w:pStyle w:val="Ttulo4"/>
      </w:pPr>
      <w:r>
        <w:t xml:space="preserve">G-OBJ1. Vigilancia del Riesgo Tecnológico</w:t>
      </w:r>
    </w:p>
    <w:p>
      <w:pPr>
        <w:pStyle w:val="FirstParagraph"/>
      </w:pPr>
      <w:r>
        <w:t xml:space="preserve">La definición de riesgos tecnológico que perseguimos en este ejercicio de diseño de gobierno SOA tiene que ver únicamente con los dominios de arquitectura</w:t>
      </w:r>
      <w:r>
        <w:rPr>
          <w:rStyle w:val="Refdenotaalpie"/>
        </w:rPr>
        <w:footnoteReference w:id="71"/>
      </w:r>
      <w:r>
        <w:t xml:space="preserve">, a los que estos impacten. Esta clasificación de los riesgos técnicos, y para efectos del ejercicio de gobierno objeto de este proyecto, es eficaz porque le facilita a cada arquitecto focalizar y mitigar aquellos riesgos relacionados con su dominio particular, que en este contexto consideramos como dominios de arquitectura a: servicios, aplicaciones, datos e infraestructura. Los riesgos transversales, como los causados por la deuda técnica, los clasificaremos en el dominio de servicios.</w:t>
      </w:r>
    </w:p>
    <w:bookmarkStart w:id="72" w:name="niveles-de-riesgo-técnico-para-del-fna"/>
    <w:p>
      <w:pPr>
        <w:pStyle w:val="Ttulo5"/>
      </w:pPr>
      <w:r>
        <w:t xml:space="preserve">Niveles de Riesgo Técnico para del FNA</w:t>
      </w:r>
    </w:p>
    <w:p>
      <w:pPr>
        <w:pStyle w:val="FirstParagraph"/>
      </w:pPr>
      <w:r>
        <w:t xml:space="preserve">Aún cuando tengamos la clasificación de riesgos técnicos, requerimos contar con niveles de criticidad a los riesgos técnicos (organizados por dominio de arquiteura). Los niveles que consideramos pertinentes para este trabajo de gobierno SOA del FNA son riesgo de nivel inicial y nivel residual.</w:t>
      </w:r>
    </w:p>
    <w:p>
      <w:pPr>
        <w:pStyle w:val="Textoindependiente"/>
      </w:pPr>
      <w:r>
        <w:t xml:space="preserve">La definición de cada nivel de riesgo es como sigue.</w:t>
      </w:r>
      <w:r>
        <w:t xml:space="preserve"> </w:t>
      </w:r>
      <w:r>
        <w:t xml:space="preserve">* Riesgo Técnico Inicial: nivel de riesgo al momento de su identificación en las arquitecturas del FNA. El riesgo permanece en este nivel antes y durante la implementación de las acciones de mitigación.</w:t>
      </w:r>
      <w:r>
        <w:t xml:space="preserve"> </w:t>
      </w:r>
      <w:r>
        <w:t xml:space="preserve">* Riesgo Técnico Reisudal: este nivel que toma el riesgo técnico luego de la implementación de las acciones de mitigación.</w:t>
      </w:r>
    </w:p>
    <w:p>
      <w:pPr>
        <w:pStyle w:val="Textoindependiente"/>
      </w:pPr>
      <w:r>
        <w:t xml:space="preserve">Hacer seguimiento a inversión tecnológica, provedores y colaboración con externos; evaluar y constatar la implementación de soluciones FNA, la cual podría limitarse a servicios SOA; controlar la adopción de nuevos diseños, nuevos marcos de trabajo, librerías o componentes de terceros.</w:t>
      </w:r>
    </w:p>
    <w:bookmarkEnd w:id="72"/>
    <w:bookmarkEnd w:id="73"/>
    <w:bookmarkStart w:id="74" w:name="X02aa4bbda48fdd5ed710b91b8bfc8b6cb34e0c9"/>
    <w:p>
      <w:pPr>
        <w:pStyle w:val="Ttulo4"/>
      </w:pPr>
      <w:r>
        <w:t xml:space="preserve">G-OBJS2. Vigilar la Complejidad e Impacto en la Arquitectura SOA del Fondo</w:t>
      </w:r>
    </w:p>
    <w:p>
      <w:pPr>
        <w:pStyle w:val="FirstParagraph"/>
      </w:pPr>
      <w:r>
        <w:t xml:space="preserve">Bien sea por medio de las revisiones de diseño, el comité de arquitectura, o por el desarrollo y distribución de un catálogo de soluciones preconstruídas que alivie y guíe a las fábricas y desarrolladores que trabajan para la empresa.</w:t>
      </w:r>
    </w:p>
    <w:bookmarkEnd w:id="74"/>
    <w:bookmarkStart w:id="75" w:name="X85a3aa6e5079aa748cd286fc188147c88a6c079"/>
    <w:p>
      <w:pPr>
        <w:pStyle w:val="Ttulo4"/>
      </w:pPr>
      <w:r>
        <w:t xml:space="preserve">G-OBJ3. Vigilar y Alcanzar los Índices de Efectividad SOA</w:t>
      </w:r>
    </w:p>
    <w:p>
      <w:pPr>
        <w:pStyle w:val="FirstParagraph"/>
      </w:pPr>
      <w:r>
        <w:t xml:space="preserve">Los índices de efectividad SOA presentes en los análisis de madurez como el realizado en la Fase 1 del diagnóstico presente.</w:t>
      </w:r>
    </w:p>
    <w:p>
      <w:pPr>
        <w:pStyle w:val="Textoindependiente"/>
      </w:pPr>
    </w:p>
    <w:bookmarkEnd w:id="75"/>
    <w:bookmarkEnd w:id="76"/>
    <w:bookmarkEnd w:id="77"/>
    <w:bookmarkStart w:id="78" w:name="X1dff0e18553c7791a6591965f046615447427d7"/>
    <w:p>
      <w:pPr>
        <w:pStyle w:val="Ttulo2"/>
      </w:pPr>
      <w:r>
        <w:t xml:space="preserve">Anexo 1. Susceptibilidades de Gobierno (PR01)</w:t>
      </w:r>
    </w:p>
    <w:p>
      <w:pPr>
        <w:numPr>
          <w:ilvl w:val="0"/>
          <w:numId w:val="1008"/>
        </w:numPr>
        <w:pStyle w:val="Compact"/>
      </w:pPr>
      <w:r>
        <w:t xml:space="preserve">Debilidad en la Completitud de los CU</w:t>
      </w:r>
    </w:p>
    <w:p>
      <w:pPr>
        <w:numPr>
          <w:ilvl w:val="0"/>
          <w:numId w:val="1008"/>
        </w:numPr>
        <w:pStyle w:val="Compact"/>
      </w:pPr>
      <w:r>
        <w:t xml:space="preserve">Herramientas y Métodos de QA relacionados con sistemas distribuidos y QA​</w:t>
      </w:r>
    </w:p>
    <w:p>
      <w:pPr>
        <w:numPr>
          <w:ilvl w:val="0"/>
          <w:numId w:val="1008"/>
        </w:numPr>
        <w:pStyle w:val="Compact"/>
      </w:pPr>
      <w:r>
        <w:t xml:space="preserve">Normalización y fortalecimiento de los ambientes QA ​</w:t>
      </w:r>
    </w:p>
    <w:p>
      <w:pPr>
        <w:numPr>
          <w:ilvl w:val="0"/>
          <w:numId w:val="1008"/>
        </w:numPr>
        <w:pStyle w:val="Compact"/>
      </w:pPr>
      <w:r>
        <w:t xml:space="preserve">Gestión del diseño y arquitecturas: categorización de complejidad​</w:t>
      </w:r>
    </w:p>
    <w:p>
      <w:pPr>
        <w:numPr>
          <w:ilvl w:val="0"/>
          <w:numId w:val="1008"/>
        </w:numPr>
        <w:pStyle w:val="Compact"/>
      </w:pPr>
      <w:r>
        <w:t xml:space="preserve">Correspondencia complejidad - diseño</w:t>
      </w:r>
    </w:p>
    <w:p>
      <w:pPr>
        <w:numPr>
          <w:ilvl w:val="0"/>
          <w:numId w:val="1008"/>
        </w:numPr>
        <w:pStyle w:val="Compact"/>
      </w:pPr>
      <w:r>
        <w:t xml:space="preserve">Débil (o inexistente) procedimiento de evaluación de inversión​</w:t>
      </w:r>
    </w:p>
    <w:p>
      <w:pPr>
        <w:numPr>
          <w:ilvl w:val="0"/>
          <w:numId w:val="1008"/>
        </w:numPr>
        <w:pStyle w:val="Compact"/>
      </w:pPr>
      <w:r>
        <w:t xml:space="preserve">Débil (o inexistente) formalidad para el cálculo de eficacia un inversión​ TI, proveedores</w:t>
      </w:r>
    </w:p>
    <w:p>
      <w:pPr>
        <w:numPr>
          <w:ilvl w:val="0"/>
          <w:numId w:val="1008"/>
        </w:numPr>
        <w:pStyle w:val="Compact"/>
      </w:pPr>
      <w:r>
        <w:t xml:space="preserve">Normnalizar registro de resultados de las entregas de proveedores​ (confiabilidad)</w:t>
      </w:r>
    </w:p>
    <w:p>
      <w:pPr>
        <w:numPr>
          <w:ilvl w:val="0"/>
          <w:numId w:val="1008"/>
        </w:numPr>
        <w:pStyle w:val="Compact"/>
      </w:pPr>
      <w:r>
        <w:t xml:space="preserve">Asignación de responsables de gestión de las inversiones de TI</w:t>
      </w:r>
    </w:p>
    <w:p>
      <w:pPr>
        <w:pStyle w:val="FirstParagraph"/>
      </w:pPr>
    </w:p>
    <w:bookmarkEnd w:id="78"/>
    <w:bookmarkStart w:id="79" w:name="Xd820393e281519037d62de8a6e14b7ac62e8045"/>
    <w:p>
      <w:pPr>
        <w:pStyle w:val="Ttulo2"/>
      </w:pPr>
      <w:r>
        <w:t xml:space="preserve">Anexo 2. Riesgos Técnicos FNA (E-Service, 2022)</w:t>
      </w:r>
    </w:p>
    <w:p>
      <w:pPr>
        <w:numPr>
          <w:ilvl w:val="0"/>
          <w:numId w:val="1009"/>
        </w:numPr>
        <w:pStyle w:val="Compact"/>
      </w:pPr>
      <w:r>
        <w:t xml:space="preserve">*1. Riesgo de agilidad limitada (ver imagen 1)</w:t>
      </w:r>
    </w:p>
    <w:p>
      <w:pPr>
        <w:numPr>
          <w:ilvl w:val="0"/>
          <w:numId w:val="1009"/>
        </w:numPr>
        <w:pStyle w:val="Compact"/>
      </w:pPr>
      <w:r>
        <w:t xml:space="preserve">*2. Riesgo de baja orquestación SOA (ver imagen 2a y 2b)</w:t>
      </w:r>
    </w:p>
    <w:p>
      <w:pPr>
        <w:numPr>
          <w:ilvl w:val="0"/>
          <w:numId w:val="1009"/>
        </w:numPr>
        <w:pStyle w:val="Compact"/>
      </w:pPr>
      <w:r>
        <w:t xml:space="preserve">*3. Riesgo de crecimiento de dependencias entre servicios SOA</w:t>
      </w:r>
    </w:p>
    <w:p>
      <w:pPr>
        <w:numPr>
          <w:ilvl w:val="0"/>
          <w:numId w:val="1009"/>
        </w:numPr>
        <w:pStyle w:val="Compact"/>
      </w:pPr>
      <w:r>
        <w:t xml:space="preserve">*4. Riesgo de crecimiento de adaptadores particulares –opuesto al estándar– (ver imagen 3)</w:t>
      </w:r>
    </w:p>
    <w:p>
      <w:pPr>
        <w:numPr>
          <w:ilvl w:val="0"/>
          <w:numId w:val="1009"/>
        </w:numPr>
        <w:pStyle w:val="Compact"/>
      </w:pPr>
      <w:r>
        <w:t xml:space="preserve">*5. Riesgo de baja reutilización de servicios SOA</w:t>
      </w:r>
    </w:p>
    <w:p>
      <w:pPr>
        <w:numPr>
          <w:ilvl w:val="0"/>
          <w:numId w:val="1009"/>
        </w:numPr>
        <w:pStyle w:val="Compact"/>
      </w:pPr>
      <w:r>
        <w:t xml:space="preserve">*6. Riesgo de permanencia de aplicaciones silos</w:t>
      </w:r>
    </w:p>
    <w:p>
      <w:pPr>
        <w:numPr>
          <w:ilvl w:val="0"/>
          <w:numId w:val="1009"/>
        </w:numPr>
        <w:pStyle w:val="Compact"/>
      </w:pPr>
      <w:r>
        <w:t xml:space="preserve">*7. Riesgo de falta de trazabilidad para la evolución e implementación de los servicios SOA</w:t>
      </w:r>
    </w:p>
    <w:p>
      <w:r>
        <w:pict>
          <v:rect style="width:0;height:1.5pt" o:hralign="center" o:hrstd="t" o:hr="t"/>
        </w:pict>
      </w:r>
    </w:p>
    <w:bookmarkEnd w:id="79"/>
    <w:bookmarkStart w:id="84" w:name="referencias"/>
    <w:p>
      <w:pPr>
        <w:pStyle w:val="Ttulo2"/>
      </w:pPr>
      <w:r>
        <w:t xml:space="preserve">Referencias</w:t>
      </w:r>
    </w:p>
    <w:bookmarkStart w:id="80" w:name="refs"/>
    <w:p>
      <w:pPr>
        <w:pStyle w:val="Bibliography"/>
      </w:pPr>
      <w:r>
        <w:t xml:space="preserve">E-Service. Situación SOA Actual del FNA. Etapa I. (2022).</w:t>
      </w:r>
    </w:p>
    <w:bookmarkEnd w:id="80"/>
    <w:bookmarkStart w:id="81" w:name="refs"/>
    <w:p>
      <w:pPr>
        <w:pStyle w:val="Bibliography"/>
      </w:pPr>
      <w:r>
        <w:t xml:space="preserve">E-Service. Arquitectura de Referencia del FNA. Etapa II. (2023).</w:t>
      </w:r>
    </w:p>
    <w:bookmarkEnd w:id="81"/>
    <w:bookmarkStart w:id="82" w:name="refs"/>
    <w:p>
      <w:pPr>
        <w:pStyle w:val="Bibliography"/>
      </w:pPr>
      <w:r>
        <w:t xml:space="preserve">E-Service. Hoja de Ruta e Iniciativas. Etapa III. (2023).</w:t>
      </w:r>
    </w:p>
    <w:bookmarkEnd w:id="82"/>
    <w:bookmarkStart w:id="83" w:name="refs"/>
    <w:p>
      <w:pPr>
        <w:pStyle w:val="Bibliography"/>
      </w:pPr>
      <w:r>
        <w:t xml:space="preserve">TOGAF 9.1. Risk Management (2023). En https://pubs.opengroup.org/architecture/togaf9-doc/arch/chap27.html</w:t>
      </w:r>
    </w:p>
    <w:bookmarkEnd w:id="83"/>
    <w:bookmarkEnd w:id="84"/>
    <w:bookmarkEnd w:id="8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71">
    <w:p>
      <w:pPr>
        <w:pStyle w:val="Textonotapie"/>
      </w:pPr>
      <w:r>
        <w:rPr>
          <w:rStyle w:val="Refdenotaalpie"/>
        </w:rPr>
        <w:footnoteRef/>
      </w:r>
      <w:r>
        <w:t xml:space="preserve"> </w:t>
      </w:r>
      <w:r>
        <w:t xml:space="preserve">TOGAF 9.1. Risk Management (2023): En https://pubs.opengroup.org/architecture/togaf9-doc/arch/chap27.html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n-US"/>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n-U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n-US"/>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n-U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62" Target="media/rId62.png" /><Relationship Type="http://schemas.openxmlformats.org/officeDocument/2006/relationships/image" Id="rId67" Target="media/rId67.png" /><Relationship Type="http://schemas.openxmlformats.org/officeDocument/2006/relationships/image" Id="rId45" Target="media/rId45.png" /><Relationship Type="http://schemas.openxmlformats.org/officeDocument/2006/relationships/image" Id="rId51" Target="media/rId51.png" /><Relationship Type="http://schemas.openxmlformats.org/officeDocument/2006/relationships/image" Id="rId34" Target="media/rId34.jpg" /><Relationship Type="http://schemas.openxmlformats.org/officeDocument/2006/relationships/hyperlink" Id="rId65"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c26b8031a9ad2ae2c6d3cf94ce6d03045ce21d6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65" Target="" TargetMode="External" /><Relationship Type="http://schemas.openxmlformats.org/officeDocument/2006/relationships/hyperlink" Id="rId50" Target="$(2:%7Bhttps://stefaninilatam.sharepoint.com/SitePages/Home.aspx%7D)" TargetMode="External" /><Relationship Type="http://schemas.openxmlformats.org/officeDocument/2006/relationships/hyperlink" Id="rId29" Target="N03a%a20Vsta%20aSegenta%20SOA%20FNA.md" TargetMode="External" /><Relationship Type="http://schemas.openxmlformats.org/officeDocument/2006/relationships/hyperlink" Id="rId22" Target="https://github.com/e_hwong" TargetMode="External" /><Relationship Type="http://schemas.openxmlformats.org/officeDocument/2006/relationships/hyperlink" Id="rId24" Target="https://github.com/fhernandez" TargetMode="External" /><Relationship Type="http://schemas.openxmlformats.org/officeDocument/2006/relationships/hyperlink" Id="rId25" Target="https://github.com/vmmartinez" TargetMode="External" /><Relationship Type="http://schemas.openxmlformats.org/officeDocument/2006/relationships/hyperlink" Id="rId23" Target="https://github.com/wmorales" TargetMode="External" /><Relationship Type="http://schemas.openxmlformats.org/officeDocument/2006/relationships/hyperlink" Id="rId43" Target="https://https://stefaninilatam.sharepoint.com/SitePages/Home.aspx/fna-dd-f2-pry1/manuscript.pdf" TargetMode="External" /><Relationship Type="http://schemas.openxmlformats.org/officeDocument/2006/relationships/hyperlink" Id="rId20" Target="https://hwong23.github.io/fna-dd-f2-e1/v/c26b8031a9ad2ae2c6d3cf94ce6d03045ce21d67/" TargetMode="External" /><Relationship Type="http://schemas.openxmlformats.org/officeDocument/2006/relationships/hyperlink" Id="rId21" Target="https://stefaninilatam.sharepoint.com/:f:/r/sites/PROYECTOARQUITECTURAE-SERVICEFNA/Documentos%20compartidos/General/Repositorio%20SOA/Procesos%20Fase%20II/181-2020.%20E-SERV.%20Fase%202-ETAPA%200.%20docx?csf=1&amp;web=1&amp;e=BiNcBP" TargetMode="External" /><Relationship Type="http://schemas.openxmlformats.org/officeDocument/2006/relationships/hyperlink" Id="rId41" Target="https://stefaninilatam.sharepoint.com/SitePages/Home.aspx" TargetMode="External" /><Relationship Type="http://schemas.openxmlformats.org/officeDocument/2006/relationships/hyperlink" Id="rId38" Target="onenote:#N001d.sharepoint.com" TargetMode="External" /><Relationship Type="http://schemas.openxmlformats.org/officeDocument/2006/relationships/hyperlink" Id="rId39"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dc:language>en-US</dc:language>
  <cp:keywords>SOA, madurez, gobierno, FNA</cp:keywords>
  <dcterms:created xsi:type="dcterms:W3CDTF">2023-06-14T22:59:42Z</dcterms:created>
  <dcterms:modified xsi:type="dcterms:W3CDTF">2023-06-14T22:59:42Z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2023-06-14</vt:lpwstr>
  </property>
  <property fmtid="{D5CDD505-2E9C-101B-9397-08002B2CF9AE}" pid="7" name="fignos-caption-name">
    <vt:lpwstr>Imagen</vt:lpwstr>
  </property>
  <property fmtid="{D5CDD505-2E9C-101B-9397-08002B2CF9AE}" pid="8" name="fignos-cleveref">
    <vt:lpwstr>True</vt:lpwstr>
  </property>
  <property fmtid="{D5CDD505-2E9C-101B-9397-08002B2CF9AE}" pid="9" name="fignos-plus-name">
    <vt:lpwstr>Fig.</vt:lpwstr>
  </property>
  <property fmtid="{D5CDD505-2E9C-101B-9397-08002B2CF9AE}" pid="10" name="geometry">
    <vt:lpwstr/>
  </property>
  <property fmtid="{D5CDD505-2E9C-101B-9397-08002B2CF9AE}" pid="11" name="header-includes">
    <vt:lpwstr>  </vt:lpwstr>
  </property>
  <property fmtid="{D5CDD505-2E9C-101B-9397-08002B2CF9AE}" pid="12" name="link-citations">
    <vt:lpwstr>True</vt:lpwstr>
  </property>
  <property fmtid="{D5CDD505-2E9C-101B-9397-08002B2CF9AE}" pid="13" name="manubot-clear-requests-cache">
    <vt:lpwstr>False</vt:lpwstr>
  </property>
  <property fmtid="{D5CDD505-2E9C-101B-9397-08002B2CF9AE}" pid="14" name="manubot-output-bibliography">
    <vt:lpwstr>output/references.json</vt:lpwstr>
  </property>
  <property fmtid="{D5CDD505-2E9C-101B-9397-08002B2CF9AE}" pid="15" name="manubot-output-citekeys">
    <vt:lpwstr>output/citations.tsv</vt:lpwstr>
  </property>
  <property fmtid="{D5CDD505-2E9C-101B-9397-08002B2CF9AE}" pid="16" name="manubot-requests-cache-path">
    <vt:lpwstr>ci/cache/requests-cache</vt:lpwstr>
  </property>
  <property fmtid="{D5CDD505-2E9C-101B-9397-08002B2CF9AE}" pid="17" name="references">
    <vt:lpwstr/>
  </property>
  <property fmtid="{D5CDD505-2E9C-101B-9397-08002B2CF9AE}" pid="18" name="tablenos-caption-name">
    <vt:lpwstr>Tabla</vt:lpwstr>
  </property>
</Properties>
</file>