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STEF@c84a839</w:t>
        </w:r>
      </w:hyperlink>
      <w:r>
        <w:t xml:space="preserve"> </w:t>
      </w:r>
      <w:r>
        <w:t xml:space="preserve">del June 12, 2023.</w:t>
      </w:r>
      <w:r>
        <w:t xml:space="preserve"> </w:t>
      </w:r>
    </w:p>
    <w:p>
      <w:pPr>
        <w:pStyle w:val="Textoindependiente"/>
      </w:pPr>
      <w:r>
        <w:t xml:space="preserve">   </w:t>
      </w:r>
      <w:r>
        <w:rPr>
          <w:bCs/>
          <w:b/>
        </w:rPr>
        <w:t xml:space="preserve">Versión</w:t>
      </w:r>
      <w:r>
        <w:t xml:space="preserve"> </w:t>
      </w:r>
      <w:r>
        <w:t xml:space="preserve">del producto 1.c84a839 del 12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1.c84a839 del 12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12 Jun 2023</w:t>
      </w:r>
    </w:p>
    <w:p>
      <w:pPr>
        <w:pStyle w:val="Textodebloque"/>
      </w:pPr>
      <w:r>
        <w:rPr>
          <w:bCs/>
          <w:b/>
        </w:rPr>
        <w:t xml:space="preserve">Versión</w:t>
      </w:r>
      <w:r>
        <w:t xml:space="preserve"> </w:t>
      </w:r>
      <w:r>
        <w:t xml:space="preserve">1.c84a839</w:t>
      </w:r>
    </w:p>
    <w:p>
      <w:pPr>
        <w:pStyle w:val="FirstParagraph"/>
      </w:pPr>
    </w:p>
    <w:bookmarkEnd w:id="30"/>
    <w:bookmarkStart w:id="3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38" w:name="modelo-de-implementación-del-pry01"/>
    <w:p>
      <w:pPr>
        <w:pStyle w:val="Ttulo2"/>
      </w:pPr>
      <w:r>
        <w:t xml:space="preserve">Modelo de Implementación del PRY01</w:t>
      </w:r>
    </w:p>
    <w:bookmarkStart w:id="0" w:name="fig:2b62a623-3c93-4321-a8f9-8012adecec23"/>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38"/>
    <w:bookmarkEnd w:id="39"/>
    <w:bookmarkStart w:id="51"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4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40"/>
    <w:bookmarkStart w:id="4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41" w:name="flujos-críticos-de-trabajo"/>
    <w:p>
      <w:pPr>
        <w:pStyle w:val="Ttulo3"/>
      </w:pPr>
      <w:r>
        <w:t xml:space="preserve">Flujos Críticos de Trabajo</w:t>
      </w:r>
    </w:p>
    <w:bookmarkEnd w:id="41"/>
    <w:bookmarkStart w:id="42" w:name="gestión-del-riesgo-técnico"/>
    <w:p>
      <w:pPr>
        <w:pStyle w:val="Ttulo3"/>
      </w:pPr>
      <w:r>
        <w:t xml:space="preserve">Gestión del Riesgo Técnico</w:t>
      </w:r>
    </w:p>
    <w:bookmarkEnd w:id="42"/>
    <w:bookmarkStart w:id="4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1.c84a839 del 12 Jun 2023</w:t>
            </w:r>
          </w:p>
        </w:tc>
      </w:tr>
      <w:tr>
        <w:tc>
          <w:tcPr/>
          <w:p>
            <w:pPr>
              <w:pStyle w:val="Compact"/>
              <w:jc w:val="left"/>
            </w:pPr>
            <w:r>
              <w:t xml:space="preserve">Vínculos</w:t>
            </w:r>
          </w:p>
        </w:tc>
        <w:tc>
          <w:tcPr/>
          <w:p>
            <w:pPr>
              <w:pStyle w:val="Compact"/>
              <w:jc w:val="left"/>
            </w:pPr>
            <w:hyperlink r:id="rId43">
              <w:r>
                <w:rPr>
                  <w:rStyle w:val="Hipervnculo"/>
                </w:rPr>
                <w:t xml:space="preserve">N001d. Ejecución Plan de Trabajo SOA</w:t>
              </w:r>
            </w:hyperlink>
            <w:r>
              <w:t xml:space="preserve">;</w:t>
            </w:r>
            <w:r>
              <w:t xml:space="preserve"> </w:t>
            </w:r>
            <w:hyperlink r:id="rId44">
              <w:r>
                <w:rPr>
                  <w:rStyle w:val="Hipervnculo"/>
                </w:rPr>
                <w:t xml:space="preserve">N003a. Procesos de Negocio FNA</w:t>
              </w:r>
            </w:hyperlink>
          </w:p>
        </w:tc>
      </w:tr>
    </w:tbl>
    <w:p>
      <w:pPr>
        <w:pStyle w:val="Textoindependiente"/>
      </w:pPr>
    </w:p>
    <w:bookmarkEnd w:id="45"/>
    <w:bookmarkEnd w:id="46"/>
    <w:bookmarkStart w:id="47" w:name="antecedentes-del-gobierno-soa-del-fna"/>
    <w:p>
      <w:pPr>
        <w:pStyle w:val="Ttulo2"/>
      </w:pPr>
      <w:r>
        <w:t xml:space="preserve">Antecedentes del Gobierno SOA del FNA</w:t>
      </w:r>
    </w:p>
    <w:p>
      <w:pPr>
        <w:pStyle w:val="FirstParagraph"/>
      </w:pPr>
      <w:r>
        <w:t xml:space="preserve">Basado en los resultados de la consultoría E-Service, Fase I, 2022, el FNA ha establecido como pilar tecnológico la implementación obligatoria del Gobierno SOA, tal que permita la continuidad de servicio, permita identificar y gestionar las amenazas y riesgos que pueden impactar el desarrollo y evolución de las arquitecturas de software del Fondo, tarea base para los planes de alineación y puesta marcha de futuras soluciones y mejoras.</w:t>
      </w:r>
    </w:p>
    <w:bookmarkEnd w:id="47"/>
    <w:bookmarkStart w:id="50"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parte de un centro determinado por el alcance de este proyecto. El centro del proyecto es las partes e ítems seleccionadas de la arquitectura de software y de servicios del FNA (ver vista de contextual, segmento de la empresa,</w:t>
      </w:r>
      <w:r>
        <w:t xml:space="preserve"> </w:t>
      </w:r>
      <w:hyperlink r:id="rId48">
        <w:r>
          <w:rPr>
            <w:rStyle w:val="Hipervnculo"/>
          </w:rPr>
          <w:t xml:space="preserve">PR01</w:t>
        </w:r>
      </w:hyperlink>
      <w:r>
        <w:t xml:space="preserve">). Desde la vista de segmento del FNA, el impacto de este gobierno , objeto del proyecto, se extiende a actores principales, interesados, usuarios y entidades relacionados con aquellas partes de la arquitectura del FNA.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1.c84a839 del 12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49">
              <w:r>
                <w:rPr>
                  <w:rStyle w:val="Hipervnculo"/>
                </w:rPr>
                <w:t xml:space="preserve">Procesos de Negocio FNA</w:t>
              </w:r>
            </w:hyperlink>
          </w:p>
        </w:tc>
      </w:tr>
    </w:tbl>
    <w:p>
      <w:pPr>
        <w:pStyle w:val="Textoindependiente"/>
      </w:pPr>
    </w:p>
    <w:p>
      <w:pPr>
        <w:numPr>
          <w:ilvl w:val="0"/>
          <w:numId w:val="1004"/>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1.c84a839 del 12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49">
              <w:r>
                <w:rPr>
                  <w:rStyle w:val="Hipervnculo"/>
                </w:rPr>
                <w:t xml:space="preserve">Procesos de Negocio FNA</w:t>
              </w:r>
            </w:hyperlink>
          </w:p>
        </w:tc>
      </w:tr>
    </w:tbl>
    <w:p>
      <w:pPr>
        <w:pStyle w:val="Textoindependiente"/>
      </w:pPr>
    </w:p>
    <w:p>
      <w:pPr>
        <w:numPr>
          <w:ilvl w:val="0"/>
          <w:numId w:val="1005"/>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1.c84a839 del 12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49">
              <w:r>
                <w:rPr>
                  <w:rStyle w:val="Hipervnculo"/>
                </w:rPr>
                <w:t xml:space="preserve">Procesos de Negocio FNA</w:t>
              </w:r>
            </w:hyperlink>
          </w:p>
        </w:tc>
      </w:tr>
    </w:tbl>
    <w:p>
      <w:pPr>
        <w:pStyle w:val="Textoindependiente"/>
      </w:pPr>
    </w:p>
    <w:p>
      <w:pPr>
        <w:numPr>
          <w:ilvl w:val="0"/>
          <w:numId w:val="1006"/>
        </w:numPr>
        <w:pStyle w:val="Compact"/>
      </w:pPr>
      <w:r>
        <w:t xml:space="preserve">Modelo de gobierno SOA del FNA: actores, información y procedimientos</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12 Jun 2023</w:t>
      </w:r>
    </w:p>
    <w:p>
      <w:pPr>
        <w:pStyle w:val="Textodebloque"/>
      </w:pPr>
      <w:r>
        <w:rPr>
          <w:bCs/>
          <w:b/>
        </w:rPr>
        <w:t xml:space="preserve">Versión</w:t>
      </w:r>
      <w:r>
        <w:t xml:space="preserve"> </w:t>
      </w:r>
      <w:r>
        <w:t xml:space="preserve">1.c84a839</w:t>
      </w:r>
    </w:p>
    <w:p>
      <w:pPr>
        <w:pStyle w:val="FirstParagraph"/>
      </w:pPr>
    </w:p>
    <w:bookmarkEnd w:id="50"/>
    <w:bookmarkEnd w:id="51"/>
    <w:bookmarkStart w:id="63"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establece necesaria la participación de la oficina de arquitectura del FNA (LOAF). Este comite sigue algunos de los preceptos y roles del Equipo de Arquitectura Ágil (Disciplined Agile® Architecture DA™). Este comité no sustituye ni supedita a otros existentes en el FNA, tales como el Comité de Control de Cambios, o los que surgen por demás asuntos tecnológicos. Dentro de este comité de gobierno existen roles permitentes a la arquitectura del FNA. Opcionalmente participarán otros roles, como los líderes y grupos de producto (que pueden venir desde otras vicepresidencias del Fondo).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52" w:name="justificación-1"/>
    <w:p>
      <w:pPr>
        <w:pStyle w:val="Ttulo2"/>
      </w:pPr>
      <w:r>
        <w:t xml:space="preserve">Justificación</w:t>
      </w:r>
    </w:p>
    <w:p>
      <w:pPr>
        <w:pStyle w:val="FirstParagraph"/>
      </w:pPr>
      <w:r>
        <w:t xml:space="preserve">El Comité de Gobierno de Arquitectura captura y gestiona mediante registro en la bitácora de decisiones de arquitectura del FNA las razones, cambios, reformas, transiciones detrás de los requerimientos de arquitectura del FNA (flexibilidad, confiabilidad, rendimiento, mantenibilidad). Comunicará y establecerá responsabilidades directas que de las adaptaciones se deriven a fin de proveer el rastro pertinente a los revisores de estos modificaciones determinadas por el Comité. El Comité de Gobierno de Arquitectura del FNA es, por tanto, la instancia donde se dirimen y dirigen los requerimientos de arquitectura (TOGAF, Architecture Requirement Specification), muchas veces del tipo adaptación o migración tecnológicas, de mayor profundidad y exclusivas de las arquiteturas del FNA.</w:t>
      </w:r>
    </w:p>
    <w:bookmarkEnd w:id="52"/>
    <w:bookmarkStart w:id="53" w:name="contenidos-1"/>
    <w:p>
      <w:pPr>
        <w:pStyle w:val="Ttulo2"/>
      </w:pPr>
      <w:r>
        <w:t xml:space="preserve">Contenidos</w:t>
      </w:r>
    </w:p>
    <w:p>
      <w:pPr>
        <w:numPr>
          <w:ilvl w:val="0"/>
          <w:numId w:val="1007"/>
        </w:numPr>
        <w:pStyle w:val="Compact"/>
      </w:pPr>
      <w:r>
        <w:t xml:space="preserve">Modelo operativo del Comité de Gobierno de Arquitecturas del FNA: ámbitos y alcances del comité</w:t>
      </w:r>
    </w:p>
    <w:p>
      <w:pPr>
        <w:numPr>
          <w:ilvl w:val="0"/>
          <w:numId w:val="1007"/>
        </w:numPr>
        <w:pStyle w:val="Compact"/>
      </w:pPr>
      <w:r>
        <w:t xml:space="preserve">Consideraciones para la puesta en marcha de la bitácora de decisiones de arquitectura</w:t>
      </w:r>
    </w:p>
    <w:p>
      <w:pPr>
        <w:numPr>
          <w:ilvl w:val="0"/>
          <w:numId w:val="1007"/>
        </w:numPr>
        <w:pStyle w:val="Compact"/>
      </w:pPr>
      <w:r>
        <w:t xml:space="preserve">Respositorio y gestión de los requerimientos de arquitectura del FNA (flexibilidad, confiabilidad, rendimiento, mantenibilidad)</w:t>
      </w:r>
    </w:p>
    <w:p>
      <w:pPr>
        <w:numPr>
          <w:ilvl w:val="0"/>
          <w:numId w:val="1007"/>
        </w:numPr>
        <w:pStyle w:val="Compact"/>
      </w:pPr>
      <w:r>
        <w:t xml:space="preserve">Métodos de evaluación de arquitecturas para el FNA</w:t>
      </w:r>
    </w:p>
    <w:p>
      <w:pPr>
        <w:pStyle w:val="FirstParagraph"/>
      </w:pPr>
    </w:p>
    <w:bookmarkEnd w:id="53"/>
    <w:bookmarkStart w:id="54" w:name="criterios-de-aceptación-1"/>
    <w:p>
      <w:pPr>
        <w:pStyle w:val="Ttulo2"/>
      </w:pPr>
      <w:r>
        <w:t xml:space="preserve">Criterios de Aceptación</w:t>
      </w:r>
    </w:p>
    <w:p>
      <w:pPr>
        <w:numPr>
          <w:ilvl w:val="0"/>
          <w:numId w:val="1008"/>
        </w:numPr>
        <w:pStyle w:val="Compact"/>
      </w:pPr>
      <w:r>
        <w:t xml:space="preserve">Especificaciones de la bitácora de decisiones de arquitectura</w:t>
      </w:r>
    </w:p>
    <w:p>
      <w:pPr>
        <w:numPr>
          <w:ilvl w:val="0"/>
          <w:numId w:val="1008"/>
        </w:numPr>
        <w:pStyle w:val="Compact"/>
      </w:pPr>
      <w:r>
        <w:t xml:space="preserve">Especificaciones de funcionamiento del Comité de Gobierno de Arquitecturas del FNA</w:t>
      </w:r>
    </w:p>
    <w:p>
      <w:pPr>
        <w:numPr>
          <w:ilvl w:val="0"/>
          <w:numId w:val="1008"/>
        </w:numPr>
        <w:pStyle w:val="Compact"/>
      </w:pPr>
      <w:r>
        <w:t xml:space="preserve">Esquema de comunicación y publicación de cambios a las arquitecturas del FNA</w:t>
      </w:r>
    </w:p>
    <w:p>
      <w:pPr>
        <w:pStyle w:val="FirstParagraph"/>
      </w:pPr>
    </w:p>
    <w:bookmarkEnd w:id="54"/>
    <w:bookmarkStart w:id="58" w:name="modelo-de-implementación-del-pry01-1"/>
    <w:p>
      <w:pPr>
        <w:pStyle w:val="Ttulo2"/>
      </w:pPr>
      <w:r>
        <w:t xml:space="preserve">Modelo de Implementación del PRY01</w:t>
      </w:r>
    </w:p>
    <w:bookmarkStart w:id="0" w:name="fig:04c072d0-8eae-4e18-8d2e-d29f263562f7"/>
    <w:p>
      <w:pPr>
        <w:pStyle w:val="CaptionedFigure"/>
      </w:pPr>
      <w:bookmarkStart w:id="57" w:name="fig:"/>
      <w:r>
        <w:drawing>
          <wp:inline>
            <wp:extent cx="5600700" cy="4499951"/>
            <wp:effectExtent b="0" l="0" r="0" t="0"/>
            <wp:docPr descr="Imagen 2: Plan de Implementación del Proyecto Hoja de Ruta E-Service FNA, 2023. Abril 2023 a Agosto 2023" title="" id="55" name="Picture"/>
            <a:graphic>
              <a:graphicData uri="http://schemas.openxmlformats.org/drawingml/2006/picture">
                <pic:pic>
                  <pic:nvPicPr>
                    <pic:cNvPr descr="images/pry1gobierno.jpg" id="5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57"/>
    </w:p>
    <w:p>
      <w:pPr>
        <w:pStyle w:val="ImageCaption"/>
      </w:pPr>
      <w:r>
        <w:t xml:space="preserve">Imagen 2: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p>
      <w:r>
        <w:pict>
          <v:rect style="width:0;height:1.5pt" o:hralign="center" o:hrstd="t" o:hr="t"/>
        </w:pict>
      </w:r>
    </w:p>
    <w:bookmarkEnd w:id="58"/>
    <w:bookmarkStart w:id="62" w:name="referencias"/>
    <w:p>
      <w:pPr>
        <w:pStyle w:val="Ttulo2"/>
      </w:pPr>
      <w:r>
        <w:t xml:space="preserve">Referencias</w:t>
      </w:r>
    </w:p>
    <w:bookmarkStart w:id="59" w:name="refs"/>
    <w:p>
      <w:pPr>
        <w:pStyle w:val="Bibliography"/>
      </w:pPr>
      <w:r>
        <w:t xml:space="preserve">E-Service. Situación SOA Actual del FNA. Etapa I. (2022).</w:t>
      </w:r>
    </w:p>
    <w:bookmarkEnd w:id="59"/>
    <w:bookmarkStart w:id="60" w:name="refs"/>
    <w:p>
      <w:pPr>
        <w:pStyle w:val="Bibliography"/>
      </w:pPr>
      <w:r>
        <w:t xml:space="preserve">E-Service. Arquitectura de Referencia del FNA. Etapa II. (2023).</w:t>
      </w:r>
    </w:p>
    <w:bookmarkEnd w:id="60"/>
    <w:bookmarkStart w:id="61" w:name="refs"/>
    <w:p>
      <w:pPr>
        <w:pStyle w:val="Bibliography"/>
      </w:pPr>
      <w:r>
        <w:t xml:space="preserve">E-Service. Hoja de Ruta e Iniciativas. Etapa III. (2023).</w:t>
      </w:r>
    </w:p>
    <w:bookmarkEnd w:id="61"/>
    <w:bookmarkEnd w:id="62"/>
    <w:bookmarkEnd w:id="6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4" Target="media/rId34.jp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8" Target="https://https://stefaninilatam.sharepoint.com/SitePages/Home.aspx/fna-dd-f2-pry1/manuscript.pdf" TargetMode="External" /><Relationship Type="http://schemas.openxmlformats.org/officeDocument/2006/relationships/hyperlink" Id="rId20" Target="https://hwong23.github.io/fna-dd-f2-e1/v/c84a839d55eff8cde14a4f6c776986ae18eb6488/"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4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8" Target="https://https://stefaninilatam.sharepoint.com/SitePages/Home.aspx/fna-dd-f2-pry1/manuscript.pdf" TargetMode="External" /><Relationship Type="http://schemas.openxmlformats.org/officeDocument/2006/relationships/hyperlink" Id="rId20" Target="https://hwong23.github.io/fna-dd-f2-e1/v/c84a839d55eff8cde14a4f6c776986ae18eb6488/"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4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2023-06-12T14:55:27Z</dcterms:created>
  <dcterms:modified xsi:type="dcterms:W3CDTF">2023-06-12T14:55:27Z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