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Hoja</w:t>
      </w:r>
      <w:r>
        <w:t xml:space="preserve"> </w:t>
      </w:r>
      <w:r>
        <w:t xml:space="preserve">de</w:t>
      </w:r>
      <w:r>
        <w:t xml:space="preserve"> </w:t>
      </w:r>
      <w:r>
        <w:t xml:space="preserve">Ruta</w:t>
      </w:r>
      <w:r>
        <w:t xml:space="preserve"> </w:t>
      </w:r>
      <w:r>
        <w:t xml:space="preserve">E-Service</w:t>
      </w:r>
      <w:r>
        <w:t xml:space="preserve"> </w:t>
      </w:r>
      <w:r>
        <w:t xml:space="preserve">PRY01</w:t>
      </w:r>
      <w:r>
        <w:t xml:space="preserve"> </w:t>
      </w:r>
      <w:r>
        <w:t xml:space="preserve">Gobierno</w:t>
      </w:r>
      <w:r>
        <w:t xml:space="preserve"> </w:t>
      </w:r>
      <w:r>
        <w:t xml:space="preserve">SOA</w:t>
      </w:r>
      <w:r>
        <w:t xml:space="preserve"> </w:t>
      </w:r>
      <w:r>
        <w:t xml:space="preserve">FNA</w:t>
      </w:r>
    </w:p>
    <w:p>
      <w:pPr>
        <w:pStyle w:val="FirstParagraph"/>
      </w:pPr>
      <w:r>
        <w:t xml:space="preserve">Este producto PR01 (</w:t>
      </w:r>
      <w:hyperlink r:id="rId20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está basada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hyperlink r:id="rId21">
        <w:r>
          <w:rPr>
            <w:rStyle w:val="Hipervnculo"/>
          </w:rPr>
          <w:t xml:space="preserve">Sharepoint STEF@ef263e0</w:t>
        </w:r>
      </w:hyperlink>
      <w:r>
        <w:t xml:space="preserve"> </w:t>
      </w:r>
      <w:r>
        <w:t xml:space="preserve">del June 7, 2023.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1.ef263e0 del 07 Jun 2023</w:t>
      </w:r>
    </w:p>
    <w:p>
      <w:pPr>
        <w:pStyle w:val="Textoindependiente"/>
      </w:pPr>
    </w:p>
    <w:bookmarkStart w:id="27" w:name="autores"/>
    <w:p>
      <w:pPr>
        <w:pStyle w:val="Ttulo2"/>
      </w:pPr>
      <w:r>
        <w:t xml:space="preserve">Autores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Harry Wong, ing.</w:t>
      </w:r>
      <w:r>
        <w:t xml:space="preserve"> 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2">
        <w:r>
          <w:rPr>
            <w:rStyle w:val="Hipervnculo"/>
          </w:rPr>
          <w:t xml:space="preserve">e_hwong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Arquitecto SOA, Stefanini</w:t>
      </w:r>
      <w:r>
        <w:t xml:space="preserve"> 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Wilson Morales, ing.</w:t>
      </w:r>
      <w:r>
        <w:t xml:space="preserve"> 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3">
        <w:r>
          <w:rPr>
            <w:rStyle w:val="Hipervnculo"/>
          </w:rPr>
          <w:t xml:space="preserve">wmorales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Software, Aplicaciones</w:t>
      </w:r>
      <w:r>
        <w:t xml:space="preserve"> 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Flavio Hernandez, ing.</w:t>
      </w:r>
      <w:r>
        <w:t xml:space="preserve"> 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4">
        <w:r>
          <w:rPr>
            <w:rStyle w:val="Hipervnculo"/>
          </w:rPr>
          <w:t xml:space="preserve">fhernandez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SOA, Arquitectura</w:t>
      </w:r>
      <w:r>
        <w:t xml:space="preserve"> 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Viviana M. Martinez, ing.</w:t>
      </w:r>
      <w:r>
        <w:t xml:space="preserve"> 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5">
        <w:r>
          <w:rPr>
            <w:rStyle w:val="Hipervnculo"/>
          </w:rPr>
          <w:t xml:space="preserve">vmmartinez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Analista, Proyectos</w:t>
      </w:r>
      <w:r>
        <w:t xml:space="preserve"> </w:t>
      </w:r>
    </w:p>
    <w:bookmarkStart w:id="26" w:name="correspondence"/>
    <w:p>
      <w:pPr>
        <w:pStyle w:val="FirstParagraph"/>
      </w:pPr>
      <w:r>
        <w:t xml:space="preserve">✉ — Enviar mensajes a Harry Wong, ing. &lt;e_hwong@stefanini.com&gt;.</w:t>
      </w:r>
    </w:p>
    <w:bookmarkEnd w:id="26"/>
    <w:p>
      <w:pPr>
        <w:pStyle w:val="Textoindependiente"/>
      </w:pPr>
    </w:p>
    <w:bookmarkEnd w:id="27"/>
    <w:bookmarkStart w:id="28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del producto 1 (PR01) del proyecto Gobierno SOA: Lista de las partes de la arquitectura actual del FNA relacionados con el Gobierno SOA, objeto del proyecto.</w:t>
      </w:r>
    </w:p>
    <w:bookmarkEnd w:id="28"/>
    <w:bookmarkStart w:id="30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440"/>
        <w:gridCol w:w="64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PRY01 Gobierno SOA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1.ef263e0 del 07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9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p>
      <w:r>
        <w:pict>
          <v:rect style="width:0;height:1.5pt" o:hralign="center" o:hrstd="t" o:hr="t"/>
        </w:pict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 Gobierno SOA.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07 Jun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1.ef263e0</w:t>
      </w:r>
    </w:p>
    <w:p>
      <w:pPr>
        <w:pStyle w:val="FirstParagraph"/>
      </w:pPr>
    </w:p>
    <w:bookmarkEnd w:id="30"/>
    <w:bookmarkStart w:id="34" w:name="Xa243999b82280cfd6e56ebddffb3dd3f704c061"/>
    <w:p>
      <w:pPr>
        <w:pStyle w:val="Ttulo1"/>
      </w:pPr>
      <w:r>
        <w:t xml:space="preserve">Producto 2: PR02. Detalle de los recursos, herramientas, roles y participantes del gobierno SOA</w:t>
      </w:r>
    </w:p>
    <w:p>
      <w:pPr>
        <w:pStyle w:val="FirstParagraph"/>
      </w:pPr>
      <w:r>
        <w:t xml:space="preserve">Políticas y procedimiento, paquetes de trabajo, identificación de personas, roles y herramientas a desplegar a cargo de la oficina de arquitectura del FNA por concepto de la instauración del gobierno.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31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El resultados del análisis de riesgos técnicos realizado en la Fase I de la consultoría E-Service, causados en parte por los retos de complejidad y agilidad que enfrenta el FNA, los cuales configuran una red de aplicaciones y servicios que aumenta el impacto, el esfuerzo y la incertidumbre de los cambios en las arquitecturas del Fondo, obliga a crear la oficina de arquitectua del FNA y a desplegar las mejoras en los flujos críticos de trabajo a cargo esta.</w:t>
      </w:r>
    </w:p>
    <w:bookmarkEnd w:id="31"/>
    <w:bookmarkStart w:id="32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2"/>
        </w:numPr>
        <w:pStyle w:val="Compact"/>
      </w:pPr>
      <w:r>
        <w:t xml:space="preserve">Modelo de gobierno SOA del FNA: actores, información y procedimientos</w:t>
      </w:r>
    </w:p>
    <w:p>
      <w:pPr>
        <w:numPr>
          <w:ilvl w:val="0"/>
          <w:numId w:val="1002"/>
        </w:numPr>
        <w:pStyle w:val="Compact"/>
      </w:pPr>
      <w:r>
        <w:t xml:space="preserve">Flujo de trabajo de oficina de arquitectura del FNA</w:t>
      </w:r>
    </w:p>
    <w:p>
      <w:pPr>
        <w:numPr>
          <w:ilvl w:val="0"/>
          <w:numId w:val="1002"/>
        </w:numPr>
        <w:pStyle w:val="Compact"/>
      </w:pPr>
      <w:r>
        <w:t xml:space="preserve">Matriz de responsabilidades oficina de arquitectura</w:t>
      </w:r>
    </w:p>
    <w:p>
      <w:pPr>
        <w:numPr>
          <w:ilvl w:val="0"/>
          <w:numId w:val="1002"/>
        </w:numPr>
        <w:pStyle w:val="Compact"/>
      </w:pPr>
      <w:r>
        <w:t xml:space="preserve">Procedimientos base del modelo de gobierno / oficina de arquitectura</w:t>
      </w:r>
    </w:p>
    <w:p>
      <w:pPr>
        <w:numPr>
          <w:ilvl w:val="0"/>
          <w:numId w:val="1002"/>
        </w:numPr>
        <w:pStyle w:val="Compact"/>
      </w:pPr>
      <w:r>
        <w:t xml:space="preserve">Anexos. Referencia documental del Gobierno SOA del FNA</w:t>
      </w:r>
    </w:p>
    <w:p>
      <w:pPr>
        <w:pStyle w:val="FirstParagraph"/>
      </w:pPr>
    </w:p>
    <w:bookmarkEnd w:id="32"/>
    <w:bookmarkStart w:id="33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3"/>
        </w:numPr>
        <w:pStyle w:val="Compact"/>
      </w:pPr>
      <w:r>
        <w:t xml:space="preserve">Entendimiento funcional y operativa de la oficina de arquitectura FNA</w:t>
      </w:r>
    </w:p>
    <w:p>
      <w:pPr>
        <w:numPr>
          <w:ilvl w:val="0"/>
          <w:numId w:val="1003"/>
        </w:numPr>
        <w:pStyle w:val="Compact"/>
      </w:pPr>
      <w:r>
        <w:t xml:space="preserve">Matriz de roles y procedimientos de la oficina de arquitetura FNA</w:t>
      </w:r>
    </w:p>
    <w:p>
      <w:pPr>
        <w:pStyle w:val="FirstParagraph"/>
      </w:pPr>
    </w:p>
    <w:p>
      <w:r>
        <w:pict>
          <v:rect style="width:0;height:1.5pt" o:hralign="center" o:hrstd="t" o:hr="t"/>
        </w:pict>
      </w:r>
    </w:p>
    <w:bookmarkEnd w:id="33"/>
    <w:bookmarkEnd w:id="34"/>
    <w:bookmarkStart w:id="44" w:name="elementos-de-gobierno"/>
    <w:p>
      <w:pPr>
        <w:pStyle w:val="Ttulo1"/>
      </w:pPr>
      <w:r>
        <w:t xml:space="preserve">Elementos de Gobierno</w:t>
      </w:r>
    </w:p>
    <w:p>
      <w:pPr>
        <w:pStyle w:val="FirstParagraph"/>
      </w:pPr>
      <w:r>
        <w:t xml:space="preserve">El gobierno SOA del FNA, objeto de este proyecto, tiene impacto sobre partes e ítems seleccionadas de la arquitectura de software y de servicios del FNA, respectivamente (ver vista de contextual, segmento de la empresa). El impacto de este gobierno se extiende a actores principales, interesados, usuarios y entidades relacionados con aquellas partes de la arquitectura del FNA.</w:t>
      </w:r>
    </w:p>
    <w:bookmarkStart w:id="35" w:name="objetivo-del-gobierno-soa-del-fna"/>
    <w:p>
      <w:pPr>
        <w:pStyle w:val="Ttulo2"/>
      </w:pPr>
      <w:r>
        <w:t xml:space="preserve">Objetivo del Gobierno SOA del FNA</w:t>
      </w:r>
    </w:p>
    <w:p>
      <w:pPr>
        <w:pStyle w:val="FirstParagraph"/>
      </w:pPr>
      <w:r>
        <w:t xml:space="preserve">El FNN ha establecido como pilar tecnológico el Gobierno SOA tal que permita la continuidad de servicio, identificar las amenazas y riesgos que pueden impactar el desarrollo y la gestión de las arquitecturas de software del Fondo; tarea base para la generación de planes enfocados a la alienación y puesta marcha de futuras soluciones y mejoras de las actuales.</w:t>
      </w:r>
    </w:p>
    <w:bookmarkEnd w:id="35"/>
    <w:bookmarkStart w:id="39" w:name="X7f84bb94068da007d469c7240a92a859956f28c"/>
    <w:p>
      <w:pPr>
        <w:pStyle w:val="Ttulo2"/>
      </w:pPr>
      <w:r>
        <w:t xml:space="preserve">Análisis de Impacto en las arquitecturas (AIA) del FNA</w:t>
      </w:r>
    </w:p>
    <w:p>
      <w:pPr>
        <w:pStyle w:val="FirstParagraph"/>
      </w:pPr>
      <w:r>
        <w:t xml:space="preserve">El análisis de impacto en el negocio BIA (Business Impact Analisys) permite la evaluación de cada componente, para determinar cuáles de ellos son críticos para la continuidad del servicio y es la base para la creación del Plan de Continuidad.</w:t>
      </w:r>
    </w:p>
    <w:p>
      <w:pPr>
        <w:pStyle w:val="Textoindependiente"/>
      </w:pPr>
      <w:r>
        <w:t xml:space="preserve">Todas las etapas asociadas a este análisis se han documentado en la Matriz de Análisis BIA. A continuación, los resultados claves para el plan de continuidad del servicio.</w:t>
      </w:r>
    </w:p>
    <w:p>
      <w:pPr>
        <w:pStyle w:val="Textoindependiente"/>
      </w:pPr>
      <w:r>
        <w:t xml:space="preserve">Los pasos para el análisis BIA son:</w:t>
      </w:r>
    </w:p>
    <w:p>
      <w:pPr>
        <w:pStyle w:val="Textoindependiente"/>
      </w:pPr>
      <w:r>
        <w:t xml:space="preserve">Identificación de los componentes (CCF).</w:t>
      </w:r>
      <w:r>
        <w:t xml:space="preserve"> </w:t>
      </w:r>
      <w:r>
        <w:t xml:space="preserve">Identificación del calendario crítico para la operación de cada componente (picos de operación y épocas en las que su funcionamiento es indispensable).</w:t>
      </w:r>
      <w:r>
        <w:t xml:space="preserve"> </w:t>
      </w:r>
      <w:r>
        <w:t xml:space="preserve">Identificación de las dependencias e interacciones críticas para cada componente.</w:t>
      </w:r>
      <w:r>
        <w:t xml:space="preserve"> </w:t>
      </w:r>
      <w:r>
        <w:t xml:space="preserve">Análisis del impacto Financiero, Reputacional, Legal o al Usuario de la ausencia del componente en la línea de tiempo.</w:t>
      </w:r>
      <w:r>
        <w:t xml:space="preserve"> </w:t>
      </w:r>
      <w:r>
        <w:t xml:space="preserve">Tiempo Objetivo de Recuperación (RTO) para cada componente.</w:t>
      </w:r>
      <w:r>
        <w:t xml:space="preserve"> </w:t>
      </w:r>
      <w:r>
        <w:t xml:space="preserve">Identificación de los recursos mínimos para operar en contingencia.</w:t>
      </w:r>
      <w:r>
        <w:t xml:space="preserve"> </w:t>
      </w:r>
      <w:r>
        <w:t xml:space="preserve">Determinación del Punto Objetivo de Recuperación (RPO)</w:t>
      </w:r>
    </w:p>
    <w:bookmarkStart w:id="36" w:name="flujos-críticos-de-trabajo"/>
    <w:p>
      <w:pPr>
        <w:pStyle w:val="Ttulo3"/>
      </w:pPr>
      <w:r>
        <w:t xml:space="preserve">Flujos Críticos de Trabajo</w:t>
      </w:r>
    </w:p>
    <w:bookmarkEnd w:id="36"/>
    <w:bookmarkStart w:id="37" w:name="gestión-del-riesgo-técnico"/>
    <w:p>
      <w:pPr>
        <w:pStyle w:val="Ttulo3"/>
      </w:pPr>
      <w:r>
        <w:t xml:space="preserve">Gestión del Riesgo Técnico</w:t>
      </w:r>
    </w:p>
    <w:bookmarkEnd w:id="37"/>
    <w:bookmarkStart w:id="38" w:name="Xcd77ee836a8c879442fd4c95d02af51daa53318"/>
    <w:p>
      <w:pPr>
        <w:pStyle w:val="Ttulo3"/>
      </w:pPr>
      <w:r>
        <w:t xml:space="preserve">Definición de Estrategias de Contingencia</w:t>
      </w:r>
    </w:p>
    <w:p>
      <w:pPr>
        <w:pStyle w:val="FirstParagraph"/>
      </w:pPr>
      <w:r>
        <w:t xml:space="preserve">Las estrategias de contingencia se establecen para cada riesgo crítico analizado, contemplando para ello las redundancias existentes y los requisitos de seguridad que deben mantenerse en observación durante la materialización del riesgo y la recuperación a la normalidad.</w:t>
      </w:r>
    </w:p>
    <w:p>
      <w:r>
        <w:pict>
          <v:rect style="width:0;height:1.5pt" o:hralign="center" o:hrstd="t" o:hr="t"/>
        </w:pict>
      </w:r>
    </w:p>
    <w:bookmarkEnd w:id="38"/>
    <w:bookmarkEnd w:id="39"/>
    <w:bookmarkStart w:id="43" w:name="referencias"/>
    <w:p>
      <w:pPr>
        <w:pStyle w:val="Ttulo2"/>
      </w:pPr>
      <w:r>
        <w:t xml:space="preserve">Referencias</w:t>
      </w:r>
    </w:p>
    <w:bookmarkStart w:id="40" w:name="refs"/>
    <w:p>
      <w:pPr>
        <w:pStyle w:val="Bibliography"/>
      </w:pPr>
      <w:r>
        <w:t xml:space="preserve">E-Service. Situación SOA Actual del FNA. Etapa I. (2022).</w:t>
      </w:r>
    </w:p>
    <w:bookmarkEnd w:id="40"/>
    <w:bookmarkStart w:id="41" w:name="refs"/>
    <w:p>
      <w:pPr>
        <w:pStyle w:val="Bibliography"/>
      </w:pPr>
      <w:r>
        <w:t xml:space="preserve">E-Service. Arquitectura de Referencia del FNA. Etapa II. (2023).</w:t>
      </w:r>
    </w:p>
    <w:bookmarkEnd w:id="41"/>
    <w:bookmarkStart w:id="42" w:name="refs"/>
    <w:p>
      <w:pPr>
        <w:pStyle w:val="Bibliography"/>
      </w:pPr>
      <w:r>
        <w:t xml:space="preserve">E-Service. Hoja de Ruta e Iniciativas. Etapa III. (2023).</w:t>
      </w:r>
    </w:p>
    <w:bookmarkEnd w:id="42"/>
    <w:bookmarkEnd w:id="43"/>
    <w:bookmarkEnd w:id="44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n-US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n-U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n-US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n-U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9" Target="N03a%a20Vsta%20aSegenta%20SOA%20FNA.md" TargetMode="External" /><Relationship Type="http://schemas.openxmlformats.org/officeDocument/2006/relationships/hyperlink" Id="rId22" Target="https://github.com/e_hwong" TargetMode="External" /><Relationship Type="http://schemas.openxmlformats.org/officeDocument/2006/relationships/hyperlink" Id="rId24" Target="https://github.com/fhernandez" TargetMode="External" /><Relationship Type="http://schemas.openxmlformats.org/officeDocument/2006/relationships/hyperlink" Id="rId25" Target="https://github.com/vmmartinez" TargetMode="External" /><Relationship Type="http://schemas.openxmlformats.org/officeDocument/2006/relationships/hyperlink" Id="rId23" Target="https://github.com/wmorales" TargetMode="External" /><Relationship Type="http://schemas.openxmlformats.org/officeDocument/2006/relationships/hyperlink" Id="rId20" Target="https://hwong23.github.io/fna-dd-f2-e1/v/ef263e077f77d0bdd587c08b54bf8ee6ea0afe38/" TargetMode="External" /><Relationship Type="http://schemas.openxmlformats.org/officeDocument/2006/relationships/hyperlink" Id="rId21" Target="https://stefaninilatam.sharepoint.com/:f:/r/sites/PROYECTOARQUITECTURAE-SERVICEFNA/Documentos%20compartidos/General/Repositorio%20SOA/Procesos%20Fase%20II/181-2020.%20E-SERV.%20Fase%202-ETAPA%200.%20docx?csf=1&amp;web=1&amp;e=BiNcBP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N03a%a20Vsta%20aSegenta%20SOA%20FNA.md" TargetMode="External" /><Relationship Type="http://schemas.openxmlformats.org/officeDocument/2006/relationships/hyperlink" Id="rId22" Target="https://github.com/e_hwong" TargetMode="External" /><Relationship Type="http://schemas.openxmlformats.org/officeDocument/2006/relationships/hyperlink" Id="rId24" Target="https://github.com/fhernandez" TargetMode="External" /><Relationship Type="http://schemas.openxmlformats.org/officeDocument/2006/relationships/hyperlink" Id="rId25" Target="https://github.com/vmmartinez" TargetMode="External" /><Relationship Type="http://schemas.openxmlformats.org/officeDocument/2006/relationships/hyperlink" Id="rId23" Target="https://github.com/wmorales" TargetMode="External" /><Relationship Type="http://schemas.openxmlformats.org/officeDocument/2006/relationships/hyperlink" Id="rId20" Target="https://hwong23.github.io/fna-dd-f2-e1/v/ef263e077f77d0bdd587c08b54bf8ee6ea0afe38/" TargetMode="External" /><Relationship Type="http://schemas.openxmlformats.org/officeDocument/2006/relationships/hyperlink" Id="rId21" Target="https://stefaninilatam.sharepoint.com/:f:/r/sites/PROYECTOARQUITECTURAE-SERVICEFNA/Documentos%20compartidos/General/Repositorio%20SOA/Procesos%20Fase%20II/181-2020.%20E-SERV.%20Fase%202-ETAPA%200.%20docx?csf=1&amp;web=1&amp;e=BiNcBP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Hoja de Ruta E-Service PRY01 Gobierno SOA FNA</dc:title>
  <dc:creator/>
  <dc:language>en-US</dc:language>
  <cp:keywords>SOA, madurez, gobierno, FNA</cp:keywords>
  <dcterms:created xsi:type="dcterms:W3CDTF">2023-06-07T20:13:26Z</dcterms:created>
  <dcterms:modified xsi:type="dcterms:W3CDTF">2023-06-07T20:13:26Z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-meta">
    <vt:lpwstr/>
  </property>
  <property fmtid="{D5CDD505-2E9C-101B-9397-08002B2CF9AE}" pid="3" name="bibliography">
    <vt:lpwstr/>
  </property>
  <property fmtid="{D5CDD505-2E9C-101B-9397-08002B2CF9AE}" pid="4" name="citekey_aliases">
    <vt:lpwstr/>
  </property>
  <property fmtid="{D5CDD505-2E9C-101B-9397-08002B2CF9AE}" pid="5" name="csl">
    <vt:lpwstr>build/assets/style.csl</vt:lpwstr>
  </property>
  <property fmtid="{D5CDD505-2E9C-101B-9397-08002B2CF9AE}" pid="6" name="date-meta">
    <vt:lpwstr>2023-06-07</vt:lpwstr>
  </property>
  <property fmtid="{D5CDD505-2E9C-101B-9397-08002B2CF9AE}" pid="7" name="header-includes">
    <vt:lpwstr>  </vt:lpwstr>
  </property>
  <property fmtid="{D5CDD505-2E9C-101B-9397-08002B2CF9AE}" pid="8" name="link-citations">
    <vt:lpwstr>True</vt:lpwstr>
  </property>
  <property fmtid="{D5CDD505-2E9C-101B-9397-08002B2CF9AE}" pid="9" name="manubot-clear-requests-cache">
    <vt:lpwstr>False</vt:lpwstr>
  </property>
  <property fmtid="{D5CDD505-2E9C-101B-9397-08002B2CF9AE}" pid="10" name="manubot-output-bibliography">
    <vt:lpwstr>output/references.json</vt:lpwstr>
  </property>
  <property fmtid="{D5CDD505-2E9C-101B-9397-08002B2CF9AE}" pid="11" name="manubot-output-citekeys">
    <vt:lpwstr>output/citations.tsv</vt:lpwstr>
  </property>
  <property fmtid="{D5CDD505-2E9C-101B-9397-08002B2CF9AE}" pid="12" name="manubot-requests-cache-path">
    <vt:lpwstr>ci/cache/requests-cache</vt:lpwstr>
  </property>
  <property fmtid="{D5CDD505-2E9C-101B-9397-08002B2CF9AE}" pid="13" name="references">
    <vt:lpwstr/>
  </property>
</Properties>
</file>