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STEF@f987b78</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1.f987b78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1.f987b78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1.f987b78</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99447258-683a-44e4-a722-e597850ddb04"/>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280"/>
        <w:gridCol w:w="664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1.f987b78</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dff682e4-e86b-4d8a-9e7f-30bc36425757"/>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1.f987b78</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f924b723-38e4-4ae7-9d29-6404625c9903"/>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d92be259-3652-4bd6-bccc-84d8dc1838dc"/>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46332eda-af1a-4f0d-a7cd-e38d31883c70"/>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f0a1064a-a829-4482-8d44-ef18f4bf78b6"/>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1.f987b78</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ad49bc36-3ede-4efc-9403-fa4aadfcab7c"/>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1.f987b78</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1.f987b78</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ac4aa323-802e-4359-94ec-308835302597"/>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2477c680-8b62-4ec3-82f8-ca903100395d"/>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1.f987b78</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da048c91-9a9b-47ac-ae38-d1b425614df1"/>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c83ac59f-22f1-4198-8c71-8ce0cdaca2cf"/>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1.f987b78 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620d9375-f60d-4395-afd3-c1f05f33ed28"/>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1.f987b78</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5"/>
    <w:bookmarkStart w:id="146" w:name="Xbb9e95761920974bb27c6f81c96837607e74875"/>
    <w:p>
      <w:pPr>
        <w:pStyle w:val="Ttulo2"/>
      </w:pPr>
      <w:r>
        <w:t xml:space="preserve">Anexo (@).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449732c5dda955ba31b3f83466548a54eda3bae"/>
    <w:p>
      <w:pPr>
        <w:pStyle w:val="Ttulo2"/>
      </w:pPr>
      <w:r>
        <w:t xml:space="preserve">Anexo (@).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a606a0b9-bf6f-454f-94e8-d66e7ed5b40c"/>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5470efa911165be848c7c1f88692089d5c9fc72"/>
    <w:p>
      <w:pPr>
        <w:pStyle w:val="Ttulo2"/>
      </w:pPr>
      <w:r>
        <w:t xml:space="preserve">Anexo (@).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1.f987b78</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Descripción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9bb61548-c80d-47e2-ac01-5032d73554e9"/>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1.f987b78</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6" w:name="el-comité-de-arquitectura-del-fna"/>
    <w:p>
      <w:pPr>
        <w:pStyle w:val="Ttulo1"/>
      </w:pPr>
      <w:r>
        <w:t xml:space="preserve">El Comité de Arquitectura del FNA</w:t>
      </w:r>
    </w:p>
    <w:bookmarkStart w:id="169"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05f9d678-30de-462a-ba8d-504fa95d260d"/>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69"/>
    <w:bookmarkStart w:id="170"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70"/>
    <w:bookmarkStart w:id="171"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p>
    <w:p>
      <w:pPr>
        <w:numPr>
          <w:ilvl w:val="0"/>
          <w:numId w:val="1028"/>
        </w:numPr>
        <w:pStyle w:val="Compact"/>
      </w:pPr>
      <w:r>
        <w:t xml:space="preserve">Divulgar el valor empresarial ampliado y elevado de la arquitectura SOA a las áreas relacionadas con TI del FNA</w:t>
      </w:r>
    </w:p>
    <w:p>
      <w:pPr>
        <w:numPr>
          <w:ilvl w:val="0"/>
          <w:numId w:val="1028"/>
        </w:numPr>
        <w:pStyle w:val="Compact"/>
      </w:pPr>
      <w:r>
        <w:t xml:space="preserve">Procurar la visibilidad de las otras áreas del FNA del trabajo de la oficina de arquitectura</w:t>
      </w:r>
    </w:p>
    <w:p>
      <w:pPr>
        <w:pStyle w:val="FirstParagraph"/>
      </w:pPr>
    </w:p>
    <w:bookmarkEnd w:id="171"/>
    <w:bookmarkStart w:id="175"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2"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2"/>
    <w:bookmarkStart w:id="173"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3"/>
    <w:bookmarkStart w:id="174"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1.f987b78</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End w:id="176"/>
    <w:bookmarkStart w:id="182"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81" w:name="consideraciones-para-operar-la-bitácora"/>
    <w:p>
      <w:pPr>
        <w:pStyle w:val="Ttulo2"/>
      </w:pPr>
      <w:r>
        <w:t xml:space="preserve">Consideraciones para Operar la Bitácora</w:t>
      </w:r>
    </w:p>
    <w:bookmarkStart w:id="177"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77"/>
    <w:bookmarkStart w:id="178"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8"/>
    <w:bookmarkStart w:id="179"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9"/>
    <w:bookmarkStart w:id="180"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30"/>
        </w:numPr>
      </w:pPr>
      <w:r>
        <w:t xml:space="preserve">Estado: Definimos cuatro estados diferentes en los que una entrada de la BDA (ADR) puede estar: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1.f987b78</w:t>
            </w:r>
            <w:r>
              <w:t xml:space="preserve"> </w:t>
            </w:r>
            <w:r>
              <w:t xml:space="preserve">del 04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0"/>
    <w:bookmarkEnd w:id="181"/>
    <w:bookmarkEnd w:id="182"/>
    <w:bookmarkStart w:id="189"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83">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88"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2"/>
        </w:numPr>
        <w:pStyle w:val="Compact"/>
      </w:pPr>
      <w:r>
        <w:t xml:space="preserve">Guarde compatibilidad con ATAM (Open Group)</w:t>
      </w:r>
    </w:p>
    <w:p>
      <w:pPr>
        <w:numPr>
          <w:ilvl w:val="0"/>
          <w:numId w:val="1032"/>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3"/>
        </w:numPr>
        <w:pStyle w:val="Compact"/>
      </w:pPr>
      <w:r>
        <w:t xml:space="preserve">Debe estar ordenada en aspectos, como mínimo</w:t>
      </w:r>
    </w:p>
    <w:p>
      <w:pPr>
        <w:numPr>
          <w:ilvl w:val="1"/>
          <w:numId w:val="1034"/>
        </w:numPr>
        <w:pStyle w:val="Compact"/>
      </w:pPr>
      <w:r>
        <w:t xml:space="preserve">Riesgos técnicos</w:t>
      </w:r>
    </w:p>
    <w:p>
      <w:pPr>
        <w:numPr>
          <w:ilvl w:val="1"/>
          <w:numId w:val="1034"/>
        </w:numPr>
        <w:pStyle w:val="Compact"/>
      </w:pPr>
      <w:r>
        <w:t xml:space="preserve">Puntos de Sensibilidad al Cambio</w:t>
      </w:r>
    </w:p>
    <w:p>
      <w:pPr>
        <w:numPr>
          <w:ilvl w:val="1"/>
          <w:numId w:val="1034"/>
        </w:numPr>
        <w:pStyle w:val="Compact"/>
      </w:pPr>
      <w:r>
        <w:t xml:space="preserve">Compensaciones</w:t>
      </w:r>
    </w:p>
    <w:p>
      <w:pPr>
        <w:numPr>
          <w:ilvl w:val="1"/>
          <w:numId w:val="1034"/>
        </w:numPr>
        <w:pStyle w:val="Compact"/>
      </w:pPr>
      <w:r>
        <w:t xml:space="preserve">Costo / Beneficio</w:t>
      </w:r>
    </w:p>
    <w:p>
      <w:pPr>
        <w:numPr>
          <w:ilvl w:val="0"/>
          <w:numId w:val="1033"/>
        </w:numPr>
        <w:pStyle w:val="Compact"/>
      </w:pPr>
      <w:r>
        <w:t xml:space="preserve">Debe estar implementado por elementos básicos y las operaciones sobre estos</w:t>
      </w:r>
    </w:p>
    <w:p>
      <w:pPr>
        <w:numPr>
          <w:ilvl w:val="1"/>
          <w:numId w:val="1035"/>
        </w:numPr>
        <w:pStyle w:val="Compact"/>
      </w:pPr>
      <w:r>
        <w:t xml:space="preserve">Escenarios de calidad: elaboración de escenarios</w:t>
      </w:r>
    </w:p>
    <w:p>
      <w:pPr>
        <w:numPr>
          <w:ilvl w:val="1"/>
          <w:numId w:val="1035"/>
        </w:numPr>
        <w:pStyle w:val="Compact"/>
      </w:pPr>
      <w:r>
        <w:t xml:space="preserve">Sistema de puntuación: evaluación de escenarios (puntaje)</w:t>
      </w:r>
    </w:p>
    <w:p>
      <w:pPr>
        <w:numPr>
          <w:ilvl w:val="1"/>
          <w:numId w:val="1035"/>
        </w:numPr>
        <w:pStyle w:val="Compact"/>
      </w:pPr>
      <w:r>
        <w:t xml:space="preserve">Árbol de utilidad (diversificación): proveer alternativas de caminos</w:t>
      </w:r>
      <w:r>
        <w:t xml:space="preserve"> </w:t>
      </w:r>
      <w:r>
        <w:t xml:space="preserve">y puntajes de un escenario</w:t>
      </w:r>
    </w:p>
    <w:bookmarkStart w:id="184" w:name="escenarios"/>
    <w:p>
      <w:pPr>
        <w:pStyle w:val="Ttulo3"/>
      </w:pPr>
      <w:r>
        <w:t xml:space="preserve">Escenarios</w:t>
      </w:r>
    </w:p>
    <w:p>
      <w:pPr>
        <w:pStyle w:val="FirstParagraph"/>
      </w:pPr>
      <w:r>
        <w:t xml:space="preserve">Los escenarios de evaluación, en este contexto, son las operaciones más usadas por el negocio.</w:t>
      </w:r>
    </w:p>
    <w:bookmarkEnd w:id="184"/>
    <w:bookmarkStart w:id="187"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6"/>
        </w:numPr>
        <w:pStyle w:val="Compact"/>
      </w:pPr>
      <w:r>
        <w:t xml:space="preserve">Método de Evaluación de Arquitectura, ATAM. Open Group</w:t>
      </w:r>
    </w:p>
    <w:p>
      <w:pPr>
        <w:numPr>
          <w:ilvl w:val="0"/>
          <w:numId w:val="1036"/>
        </w:numPr>
        <w:pStyle w:val="Compact"/>
      </w:pPr>
      <w:r>
        <w:t xml:space="preserve">Método de Revisión de Arquitecturas de Solución, Simon Field, bajo licencia Creative Commons 4.0.</w:t>
      </w:r>
      <w:r>
        <w:t xml:space="preserve"> </w:t>
      </w:r>
      <w:r>
        <w:rPr>
          <w:rStyle w:val="Refdenotaalpie"/>
        </w:rPr>
        <w:footnoteReference w:id="185"/>
      </w:r>
    </w:p>
    <w:p>
      <w:r>
        <w:br w:type="page"/>
      </w:r>
    </w:p>
    <w:bookmarkEnd w:id="187"/>
    <w:bookmarkEnd w:id="188"/>
    <w:bookmarkEnd w:id="189"/>
    <w:bookmarkStart w:id="194" w:name="referencias"/>
    <w:p>
      <w:pPr>
        <w:pStyle w:val="Ttulo1"/>
      </w:pPr>
      <w:r>
        <w:t xml:space="preserve">Referencias</w:t>
      </w:r>
    </w:p>
    <w:bookmarkStart w:id="190" w:name="refs"/>
    <w:p>
      <w:pPr>
        <w:pStyle w:val="Bibliography"/>
      </w:pPr>
      <w:r>
        <w:t xml:space="preserve">E-Service. Situación SOA Actual del FNA. Etapa I. (2022).</w:t>
      </w:r>
    </w:p>
    <w:bookmarkEnd w:id="190"/>
    <w:bookmarkStart w:id="191" w:name="refs"/>
    <w:p>
      <w:pPr>
        <w:pStyle w:val="Bibliography"/>
      </w:pPr>
      <w:r>
        <w:t xml:space="preserve">E-Service. Arquitectura de Referencia del FNA. Etapa II. (2023).</w:t>
      </w:r>
    </w:p>
    <w:bookmarkEnd w:id="191"/>
    <w:bookmarkStart w:id="192" w:name="refs"/>
    <w:p>
      <w:pPr>
        <w:pStyle w:val="Bibliography"/>
      </w:pPr>
      <w:r>
        <w:t xml:space="preserve">E-Service. Hoja de Ruta e Iniciativas. Etapa III. (2023).</w:t>
      </w:r>
    </w:p>
    <w:bookmarkEnd w:id="192"/>
    <w:bookmarkStart w:id="193" w:name="refs"/>
    <w:p>
      <w:pPr>
        <w:pStyle w:val="Bibliography"/>
      </w:pPr>
      <w:r>
        <w:t xml:space="preserve">TOGAF 9.1. Risk Management (2023). En https://pubs.opengroup.org/architecture/togaf9-doc/arch/chap27.html</w:t>
      </w:r>
    </w:p>
    <w:bookmarkEnd w:id="193"/>
    <w:bookmarkEnd w:id="194"/>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85">
    <w:p>
      <w:pPr>
        <w:pStyle w:val="Textonotapie"/>
      </w:pPr>
      <w:r>
        <w:rPr>
          <w:rStyle w:val="Refdenotaalpie"/>
        </w:rPr>
        <w:footnoteRef/>
      </w:r>
      <w:r>
        <w:t xml:space="preserve"> </w:t>
      </w:r>
      <w:hyperlink r:id="rId186">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f987b782f6af6d8700e3635bdb558c6004f436ef/"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83"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f987b782f6af6d8700e3635bdb558c6004f436ef/" TargetMode="External" /><Relationship Type="http://schemas.openxmlformats.org/officeDocument/2006/relationships/hyperlink" Id="rId186"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2023-07-04T15:12:56Z</dcterms:created>
  <dcterms:modified xsi:type="dcterms:W3CDTF">2023-07-04T15:12:56Z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