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jpg" ContentType="image/jpeg"/>
  <Override PartName="/word/media/rId133.gif" ContentType="image/gif"/>
  <Override PartName="/word/media/rId86.png" ContentType="image/png"/>
  <Override PartName="/word/media/rId96.png" ContentType="image/png"/>
  <Override PartName="/word/media/rId103.png" ContentType="image/png"/>
  <Override PartName="/word/media/rId109.png" ContentType="image/png"/>
  <Override PartName="/word/media/rId81.png" ContentType="image/png"/>
  <Override PartName="/word/media/rId75.png" ContentType="image/png"/>
  <Override PartName="/word/media/rId71.png" ContentType="image/png"/>
  <Override PartName="/word/media/rId46.png" ContentType="image/png"/>
  <Override PartName="/word/media/rId52.png" ContentType="image/png"/>
  <Override PartName="/word/media/rId125.png" ContentType="image/png"/>
  <Override PartName="/word/media/rId34.jpg" ContentType="image/jpeg"/>
  <Override PartName="/word/media/rId11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STEF@fe5d871</w:t>
        </w:r>
      </w:hyperlink>
      <w:r>
        <w:t xml:space="preserve"> </w:t>
      </w:r>
      <w:r>
        <w:t xml:space="preserve">del June 21, 2023.</w:t>
      </w:r>
      <w:r>
        <w:t xml:space="preserve"> </w:t>
      </w:r>
    </w:p>
    <w:p>
      <w:pPr>
        <w:pStyle w:val="Textoindependiente"/>
      </w:pPr>
      <w:r>
        <w:t xml:space="preserve">   </w:t>
      </w:r>
      <w:r>
        <w:rPr>
          <w:bCs/>
          <w:b/>
        </w:rPr>
        <w:t xml:space="preserve">Versión</w:t>
      </w:r>
      <w:r>
        <w:t xml:space="preserve"> </w:t>
      </w:r>
      <w:r>
        <w:t xml:space="preserve">del producto 1.fe5d871 de 21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1.fe5d871 del 21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1.fe5d871</w:t>
      </w:r>
    </w:p>
    <w:p>
      <w:pPr>
        <w:pStyle w:val="FirstParagraph"/>
      </w:pPr>
    </w:p>
    <w:bookmarkEnd w:id="30"/>
    <w:bookmarkStart w:id="4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29a8bf7c-5446-458a-8a13-0e58e919bed4"/>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End w:id="41"/>
    <w:bookmarkStart w:id="4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3"/>
    <w:bookmarkStart w:id="4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45"/>
    <w:bookmarkStart w:id="5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c02f221a-1c05-463d-925f-798d623a7df6"/>
    <w:p>
      <w:pPr>
        <w:pStyle w:val="CaptionedFigure"/>
      </w:pPr>
      <w:bookmarkStart w:id="49" w:name="fig:"/>
      <w:r>
        <w:drawing>
          <wp:inline>
            <wp:extent cx="5600700" cy="4485837"/>
            <wp:effectExtent b="0" l="0" r="0" t="0"/>
            <wp:docPr descr="Imagen 2: Modelo de Gobierno SOA del FNA, emisión inicial, versión 0.2. Gestiona la evolución de las arquitecturas de servicios SOA." title="" id="47" name="Picture"/>
            <a:graphic>
              <a:graphicData uri="http://schemas.openxmlformats.org/drawingml/2006/picture">
                <pic:pic>
                  <pic:nvPicPr>
                    <pic:cNvPr descr="images/modelo-gob.png" id="48" name="Picture"/>
                    <pic:cNvPicPr>
                      <a:picLocks noChangeArrowheads="1" noChangeAspect="1"/>
                    </pic:cNvPicPr>
                  </pic:nvPicPr>
                  <pic:blipFill>
                    <a:blip r:embed="rId46"/>
                    <a:stretch>
                      <a:fillRect/>
                    </a:stretch>
                  </pic:blipFill>
                  <pic:spPr bwMode="auto">
                    <a:xfrm>
                      <a:off x="0" y="0"/>
                      <a:ext cx="5600700" cy="4485837"/>
                    </a:xfrm>
                    <a:prstGeom prst="rect">
                      <a:avLst/>
                    </a:prstGeom>
                    <a:noFill/>
                    <a:ln w="9525">
                      <a:noFill/>
                      <a:headEnd/>
                      <a:tailEnd/>
                    </a:ln>
                  </pic:spPr>
                </pic:pic>
              </a:graphicData>
            </a:graphic>
          </wp:inline>
        </w:drawing>
      </w:r>
      <w:bookmarkEnd w:id="49"/>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50"/>
    <w:bookmarkStart w:id="9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61aa3d9-0f27-4439-aa23-bc7e78abbf6b"/>
    <w:p>
      <w:pPr>
        <w:pStyle w:val="CaptionedFigure"/>
      </w:pPr>
      <w:bookmarkStart w:id="55" w:name="fig:"/>
      <w:r>
        <w:drawing>
          <wp:inline>
            <wp:extent cx="5600700" cy="3879326"/>
            <wp:effectExtent b="0" l="0" r="0" t="0"/>
            <wp:docPr descr="Imagen 3: Versión 0.5 del Modelo de Gobierno del FNA." title="" id="53" name="Picture"/>
            <a:graphic>
              <a:graphicData uri="http://schemas.openxmlformats.org/drawingml/2006/picture">
                <pic:pic>
                  <pic:nvPicPr>
                    <pic:cNvPr descr="images/modelogob05.png" id="54" name="Picture"/>
                    <pic:cNvPicPr>
                      <a:picLocks noChangeArrowheads="1" noChangeAspect="1"/>
                    </pic:cNvPicPr>
                  </pic:nvPicPr>
                  <pic:blipFill>
                    <a:blip r:embed="rId52"/>
                    <a:stretch>
                      <a:fillRect/>
                    </a:stretch>
                  </pic:blipFill>
                  <pic:spPr bwMode="auto">
                    <a:xfrm>
                      <a:off x="0" y="0"/>
                      <a:ext cx="5600700" cy="3879326"/>
                    </a:xfrm>
                    <a:prstGeom prst="rect">
                      <a:avLst/>
                    </a:prstGeom>
                    <a:noFill/>
                    <a:ln w="9525">
                      <a:noFill/>
                      <a:headEnd/>
                      <a:tailEnd/>
                    </a:ln>
                  </pic:spPr>
                </pic:pic>
              </a:graphicData>
            </a:graphic>
          </wp:inline>
        </w:drawing>
      </w:r>
      <w:bookmarkEnd w:id="55"/>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6"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56"/>
    <w:bookmarkStart w:id="57"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42">
        <w:r>
          <w:rPr>
            <w:rStyle w:val="Hipervnculo"/>
          </w:rPr>
          <w:t xml:space="preserve">Consideraciones para Operar la Bitácora</w:t>
        </w:r>
      </w:hyperlink>
      <w:r>
        <w:t xml:space="preserve">.</w:t>
      </w:r>
    </w:p>
    <w:bookmarkEnd w:id="57"/>
    <w:bookmarkStart w:id="58"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4"/>
        </w:numPr>
        <w:pStyle w:val="Compact"/>
      </w:pPr>
      <w:r>
        <w:t xml:space="preserve">Descripción del trabajo/solicitud</w:t>
      </w:r>
    </w:p>
    <w:p>
      <w:pPr>
        <w:numPr>
          <w:ilvl w:val="0"/>
          <w:numId w:val="1004"/>
        </w:numPr>
        <w:pStyle w:val="Compact"/>
      </w:pPr>
      <w:r>
        <w:t xml:space="preserve">Contexto tras el trabajo (solicitud) de arquitectura</w:t>
      </w:r>
    </w:p>
    <w:p>
      <w:pPr>
        <w:numPr>
          <w:ilvl w:val="0"/>
          <w:numId w:val="1004"/>
        </w:numPr>
        <w:pStyle w:val="Compact"/>
      </w:pPr>
      <w:r>
        <w:t xml:space="preserve">Denominación del proyecto de arquitectura y alcance (una vez aprobado el cambio)</w:t>
      </w:r>
    </w:p>
    <w:p>
      <w:pPr>
        <w:numPr>
          <w:ilvl w:val="0"/>
          <w:numId w:val="1004"/>
        </w:numPr>
        <w:pStyle w:val="Compact"/>
      </w:pPr>
      <w:r>
        <w:t xml:space="preserve">Prerequisitos para la ejecución del cambio (Vision)</w:t>
      </w:r>
    </w:p>
    <w:p>
      <w:pPr>
        <w:numPr>
          <w:ilvl w:val="0"/>
          <w:numId w:val="1004"/>
        </w:numPr>
        <w:pStyle w:val="Compact"/>
      </w:pPr>
      <w:r>
        <w:t xml:space="preserve">Esquema de trabajo del cambio en cada dominio y componente de la arquitectura</w:t>
      </w:r>
    </w:p>
    <w:p>
      <w:pPr>
        <w:numPr>
          <w:ilvl w:val="0"/>
          <w:numId w:val="1004"/>
        </w:numPr>
        <w:pStyle w:val="Compact"/>
      </w:pPr>
      <w:r>
        <w:t xml:space="preserve">Equipo de trabajo, roles, responsabilidades y entregables</w:t>
      </w:r>
    </w:p>
    <w:p>
      <w:pPr>
        <w:numPr>
          <w:ilvl w:val="0"/>
          <w:numId w:val="1004"/>
        </w:numPr>
        <w:pStyle w:val="Compact"/>
      </w:pPr>
      <w:r>
        <w:t xml:space="preserve">Criterios de aceptación</w:t>
      </w:r>
    </w:p>
    <w:p>
      <w:pPr>
        <w:numPr>
          <w:ilvl w:val="0"/>
          <w:numId w:val="1004"/>
        </w:numPr>
        <w:pStyle w:val="Compact"/>
      </w:pPr>
      <w:r>
        <w:t xml:space="preserve">Plan de trabajo y calendario</w:t>
      </w:r>
    </w:p>
    <w:p>
      <w:pPr>
        <w:numPr>
          <w:ilvl w:val="0"/>
          <w:numId w:val="1004"/>
        </w:numPr>
        <w:pStyle w:val="Compact"/>
      </w:pPr>
      <w:r>
        <w:t xml:space="preserve">Aprobaciones</w:t>
      </w:r>
    </w:p>
    <w:bookmarkEnd w:id="58"/>
    <w:bookmarkStart w:id="59" w:name="repositorio-soa"/>
    <w:p>
      <w:pPr>
        <w:pStyle w:val="Ttulo2"/>
      </w:pPr>
      <w:r>
        <w:t xml:space="preserve">Repositorio SOA</w:t>
      </w:r>
    </w:p>
    <w:bookmarkEnd w:id="59"/>
    <w:bookmarkStart w:id="60" w:name="repositorio-análisis"/>
    <w:p>
      <w:pPr>
        <w:pStyle w:val="Ttulo2"/>
      </w:pPr>
      <w:r>
        <w:t xml:space="preserve">Repositorio Análisis</w:t>
      </w:r>
    </w:p>
    <w:bookmarkEnd w:id="60"/>
    <w:bookmarkStart w:id="61"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61"/>
    <w:bookmarkStart w:id="66" w:name="X0decf040c79a6fd347613aeeddb5ab366b2ff53"/>
    <w:p>
      <w:pPr>
        <w:pStyle w:val="Ttulo2"/>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objetivos-id"/>
    <w:p>
      <w:pPr>
        <w:pStyle w:val="CaptionedFigure"/>
      </w:pPr>
      <w:bookmarkStart w:id="65" w:name="fig:objetivos-id"/>
      <w:r>
        <w:drawing>
          <wp:inline>
            <wp:extent cx="5600700" cy="3426588"/>
            <wp:effectExtent b="0" l="0" r="0" t="0"/>
            <wp:docPr descr="Imagen 4: Objetivos principal y específicos del Gobierno SOA del FNA, versión 0.5." title="" id="63" name="Picture"/>
            <a:graphic>
              <a:graphicData uri="http://schemas.openxmlformats.org/drawingml/2006/picture">
                <pic:pic>
                  <pic:nvPicPr>
                    <pic:cNvPr descr="images/GobiernoSOA.3n1.jpg" id="64" name="Picture"/>
                    <pic:cNvPicPr>
                      <a:picLocks noChangeArrowheads="1" noChangeAspect="1"/>
                    </pic:cNvPicPr>
                  </pic:nvPicPr>
                  <pic:blipFill>
                    <a:blip r:embed="rId62"/>
                    <a:stretch>
                      <a:fillRect/>
                    </a:stretch>
                  </pic:blipFill>
                  <pic:spPr bwMode="auto">
                    <a:xfrm>
                      <a:off x="0" y="0"/>
                      <a:ext cx="5600700" cy="3426588"/>
                    </a:xfrm>
                    <a:prstGeom prst="rect">
                      <a:avLst/>
                    </a:prstGeom>
                    <a:noFill/>
                    <a:ln w="9525">
                      <a:noFill/>
                      <a:headEnd/>
                      <a:tailEnd/>
                    </a:ln>
                  </pic:spPr>
                </pic:pic>
              </a:graphicData>
            </a:graphic>
          </wp:inline>
        </w:drawing>
      </w:r>
      <w:bookmarkEnd w:id="65"/>
    </w:p>
    <w:p>
      <w:pPr>
        <w:pStyle w:val="ImageCaption"/>
      </w:pPr>
      <w:r>
        <w:t xml:space="preserve">Imagen 4: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66"/>
    <w:bookmarkStart w:id="80" w:name="objetivos-específicos-del-gobierno"/>
    <w:p>
      <w:pPr>
        <w:pStyle w:val="Ttulo2"/>
      </w:pPr>
      <w:r>
        <w:t xml:space="preserve">Objetivos Específicos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05"/>
        </w:numPr>
        <w:pStyle w:val="Compact"/>
      </w:pPr>
      <w:r>
        <w:t xml:space="preserve">G-OBJ1. Vigilancia del riesgo tecnológico</w:t>
      </w:r>
    </w:p>
    <w:p>
      <w:pPr>
        <w:numPr>
          <w:ilvl w:val="0"/>
          <w:numId w:val="1005"/>
        </w:numPr>
        <w:pStyle w:val="Compact"/>
      </w:pPr>
      <w:r>
        <w:t xml:space="preserve">G-OBJ2. Vigilar el crecimiento de la complejidad y el impacto de los nuevos cambios en la arquitectura SOA del FNA</w:t>
      </w:r>
    </w:p>
    <w:p>
      <w:pPr>
        <w:numPr>
          <w:ilvl w:val="0"/>
          <w:numId w:val="1005"/>
        </w:numPr>
        <w:pStyle w:val="Compact"/>
      </w:pPr>
      <w:r>
        <w:t xml:space="preserve">G-OBJ3. Vigilar y perseguir el aumento de los índices de adopción, adaptación y efectividad SOA</w:t>
      </w:r>
    </w:p>
    <w:p>
      <w:pPr>
        <w:pStyle w:val="FirstParagraph"/>
      </w:pPr>
    </w:p>
    <w:p>
      <w:pPr>
        <w:pStyle w:val="Textoindependiente"/>
      </w:pPr>
      <w:r>
        <w:t xml:space="preserve">Los objetivos princiapl y específicos se encuentran ilustrados arriba, en la imagen</w:t>
      </w:r>
      <w:r>
        <w:t xml:space="preserve"> </w:t>
      </w:r>
      <w:r>
        <w:rPr>
          <w:iCs/>
          <w:i/>
        </w:rPr>
        <w:t xml:space="preserve">Objetivos principal y específicos del Gobierno SOA del FNA</w:t>
      </w:r>
      <w:r>
        <w:t xml:space="preserve">, arriba Fig. </w:t>
      </w:r>
      <w:hyperlink w:anchor="fig:objetivos-id">
        <w:r>
          <w:rPr>
            <w:rStyle w:val="Hipervnculo"/>
          </w:rPr>
          <w:t xml:space="preserve">4</w:t>
        </w:r>
      </w:hyperlink>
      <w:r>
        <w:t xml:space="preserve">. A continuación trataremos detalles de cada objetivo específico.</w:t>
      </w:r>
    </w:p>
    <w:bookmarkStart w:id="69" w:name="Xa26f50d9d2dc49753c1803d09efa61b9a7ca4e1"/>
    <w:p>
      <w:pPr>
        <w:pStyle w:val="Ttulo3"/>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p>
      <w:pPr>
        <w:pStyle w:val="Textoindependiente"/>
      </w:pPr>
      <w:r>
        <w:t xml:space="preserve">Una vez organizado slos riegos técnicos por dominio, cada uno deberá: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pStyle w:val="Textoindependiente"/>
      </w:pPr>
      <w:r>
        <w:t xml:space="preserve">De este objetivo enfatizamos el control sobre la inversión de TI, que en la práctica trata sobre vigilar la efectividad y factibilidad de los proyectos SOA de la organización mediante los resultados del</w:t>
      </w:r>
      <w:r>
        <w:t xml:space="preserve"> </w:t>
      </w:r>
      <w:r>
        <w:t xml:space="preserve">1. análisis de factibilidad SOA</w:t>
      </w:r>
      <w:r>
        <w:t xml:space="preserve"> </w:t>
      </w:r>
      <w:r>
        <w:t xml:space="preserve">1. y la efectividad esperada de la inversión (cálculo del costo / beneficio)</w:t>
      </w:r>
    </w:p>
    <w:p>
      <w:pPr>
        <w:pStyle w:val="Textoindependiente"/>
      </w:pPr>
      <w:r>
        <w:t xml:space="preserve">Ambos análisis deben quedar relacionados en el repositorio de la oficina de arquitectura del FNA, objeto de este proyecto.</w:t>
      </w:r>
    </w:p>
    <w:bookmarkStart w:id="68" w:name="niveles-de-riesgo-técnico-para-del-fna"/>
    <w:p>
      <w:pPr>
        <w:pStyle w:val="Ttulo4"/>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bookmarkEnd w:id="68"/>
    <w:bookmarkEnd w:id="69"/>
    <w:bookmarkStart w:id="70" w:name="X02aa4bbda48fdd5ed710b91b8bfc8b6cb34e0c9"/>
    <w:p>
      <w:pPr>
        <w:pStyle w:val="Ttulo3"/>
      </w:pPr>
      <w:r>
        <w:t xml:space="preserve">G-OBJS2. Vigilar la Complejidad e Impacto en la Arquitectura SOA del Fondo</w:t>
      </w:r>
    </w:p>
    <w:p>
      <w:pPr>
        <w:pStyle w:val="FirstParagraph"/>
      </w:pPr>
      <w:r>
        <w:t xml:space="preserve">Una de las mayores limitaciones para diseñar soluciones para los sistemas de información, aplicaciones y herramientas de software es tener las habilidades y herramientas para entenderlos (antes de diseñar). A medida que los sistemas, y los programas debajo de estos, evolucionan y adquieren más características, los sistemas y las aplicaciones de software se vuelven complicados, con sutiles y crecientes dependencias entre sus componentes. Con el tiempo, la complejidad se acumula, y se vuelve cada vez más difícil para los ingenieros y desarrolladores, el mantener organizado (y en su conocimiento) todos los factores relevantes de la implementación mientras se encargan de modificar los sistemas. Esto ralentiza el desarrollo y conduce a fallos, que a su vez aumenta la lentitud del desarrollo agregandole costos al proceso. La complejidad incrementa inevitablemente. Mientras más componentes tenga el sistema (tamaño) y más personas trabajen en él (actores), mayor la dificultad para manejar la complejidad.</w:t>
      </w:r>
    </w:p>
    <w:p>
      <w:pPr>
        <w:pStyle w:val="Textoindependiente"/>
      </w:pPr>
      <w:r>
        <w:t xml:space="preserve">Desarrollar las habilidades y herramientas para representar, organizar y divulgar las ideas funcionales y sus detalles de implementación es lo que llamamos gestionar la complejidad en este contexto.</w:t>
      </w:r>
    </w:p>
    <w:bookmarkEnd w:id="70"/>
    <w:bookmarkStart w:id="79" w:name="X85a3aa6e5079aa748cd286fc188147c88a6c079"/>
    <w:p>
      <w:pPr>
        <w:pStyle w:val="Ttulo3"/>
      </w:pPr>
      <w:r>
        <w:t xml:space="preserve">G-OBJ3. Vigilar y Alcanzar los Índices de Efectividad SOA</w:t>
      </w:r>
    </w:p>
    <w:p>
      <w:pPr>
        <w:pStyle w:val="FirstParagraph"/>
      </w:pPr>
      <w:r>
        <w:t xml:space="preserve">Para el modelo de gobierno del FNA vamos a utilizar dos sistemas de índices de rendimiento. Para el primero, equiparamos la definición de efectividad de arquitectura con el modelo de madurez OSIMM de TOGAF. A partir de ahí, desarrollaremos los índices sujetos de este objetivo. En este sentido, tomaremos como referencia la versión inicial de estos índices desarrolados en los análisis de madurez realizado en E-Service, Fase 1. A saber:</w:t>
      </w:r>
    </w:p>
    <w:bookmarkStart w:id="0" w:name="fig:c586d784-84ca-45c2-9002-16b8e52365f9"/>
    <w:p>
      <w:pPr>
        <w:pStyle w:val="CaptionedFigure"/>
      </w:pPr>
      <w:bookmarkStart w:id="74" w:name="fig:"/>
      <w:r>
        <w:drawing>
          <wp:inline>
            <wp:extent cx="5600700" cy="4232267"/>
            <wp:effectExtent b="0" l="0" r="0" t="0"/>
            <wp:docPr descr="Imagen 5: índices de efectividad de las arquitecturas del FNA." title="" id="72" name="Picture"/>
            <a:graphic>
              <a:graphicData uri="http://schemas.openxmlformats.org/drawingml/2006/picture">
                <pic:pic>
                  <pic:nvPicPr>
                    <pic:cNvPr descr="images/madurezInfo_graf.png" id="73" name="Picture"/>
                    <pic:cNvPicPr>
                      <a:picLocks noChangeArrowheads="1" noChangeAspect="1"/>
                    </pic:cNvPicPr>
                  </pic:nvPicPr>
                  <pic:blipFill>
                    <a:blip r:embed="rId71"/>
                    <a:stretch>
                      <a:fillRect/>
                    </a:stretch>
                  </pic:blipFill>
                  <pic:spPr bwMode="auto">
                    <a:xfrm>
                      <a:off x="0" y="0"/>
                      <a:ext cx="5600700" cy="4232267"/>
                    </a:xfrm>
                    <a:prstGeom prst="rect">
                      <a:avLst/>
                    </a:prstGeom>
                    <a:noFill/>
                    <a:ln w="9525">
                      <a:noFill/>
                      <a:headEnd/>
                      <a:tailEnd/>
                    </a:ln>
                  </pic:spPr>
                </pic:pic>
              </a:graphicData>
            </a:graphic>
          </wp:inline>
        </w:drawing>
      </w:r>
      <w:bookmarkEnd w:id="74"/>
    </w:p>
    <w:p>
      <w:pPr>
        <w:pStyle w:val="ImageCaption"/>
      </w:pPr>
      <w:r>
        <w:t xml:space="preserve">Imagen 5: índices de efectividad de las arquitecturas del FNA.</w:t>
      </w:r>
    </w:p>
    <w:bookmarkEnd w:id="0"/>
    <w:p>
      <w:pPr>
        <w:pStyle w:val="Textoindependiente"/>
      </w:pPr>
      <w:r>
        <w:rPr>
          <w:iCs/>
          <w:i/>
        </w:rPr>
        <w:t xml:space="preserve">Fuente: Diagnóstico SOA. E-Service (2022).</w:t>
      </w:r>
    </w:p>
    <w:p>
      <w:pPr>
        <w:pStyle w:val="Textoindependiente"/>
      </w:pPr>
    </w:p>
    <w:p>
      <w:pPr>
        <w:pStyle w:val="Textoindependiente"/>
      </w:pPr>
      <w:r>
        <w:t xml:space="preserve">Es deber de este objetivo establecer y desplegar los procedimientos para garantizar el aumento de estos índices de efectividad, así como monitorear el rendimiento (KPI) de los procesos de arquitecura involucrados y definidos más adelante.</w:t>
      </w:r>
    </w:p>
    <w:p>
      <w:pPr>
        <w:pStyle w:val="Textoindependiente"/>
      </w:pPr>
      <w:r>
        <w:t xml:space="preserve">El segundo sistema de índices que utilizaremos es el desarrollado por la Fase I de E-Service. En este, establecemos como indicador clave</w:t>
      </w:r>
      <w:r>
        <w:t xml:space="preserve"> </w:t>
      </w:r>
      <w:r>
        <w:rPr>
          <w:iCs/>
          <w:i/>
        </w:rPr>
        <w:t xml:space="preserve">que el FNA mantenga el vínculo de sus activos tanto de infraestructura como los activos SOA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además de base para los procesos la mayoría de las decisiones de cambio, mejora, inversión, reforma, y otras propias de la gestión de la tecnología SOA. También funciona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los indicadores de gestión del gobierno, el del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Start w:id="0" w:name="fig:943e0840-bd5b-4f3d-927f-68c6c94ce8eb"/>
    <w:p>
      <w:pPr>
        <w:pStyle w:val="CaptionedFigure"/>
      </w:pPr>
      <w:bookmarkStart w:id="78" w:name="fig:"/>
      <w:r>
        <w:drawing>
          <wp:inline>
            <wp:extent cx="5600700" cy="3248963"/>
            <wp:effectExtent b="0" l="0" r="0" t="0"/>
            <wp:docPr descr="Imagen 6: Indicador principal del gobierno SOA: KPI de Vínculo Contexto Negocio-SOA. Identifica y justifica los cambios SOA en relación al Valor de negocio." title="" id="76" name="Picture"/>
            <a:graphic>
              <a:graphicData uri="http://schemas.openxmlformats.org/drawingml/2006/picture">
                <pic:pic>
                  <pic:nvPicPr>
                    <pic:cNvPr descr="images/indicadoresgob.png" id="77" name="Picture"/>
                    <pic:cNvPicPr>
                      <a:picLocks noChangeArrowheads="1" noChangeAspect="1"/>
                    </pic:cNvPicPr>
                  </pic:nvPicPr>
                  <pic:blipFill>
                    <a:blip r:embed="rId75"/>
                    <a:stretch>
                      <a:fillRect/>
                    </a:stretch>
                  </pic:blipFill>
                  <pic:spPr bwMode="auto">
                    <a:xfrm>
                      <a:off x="0" y="0"/>
                      <a:ext cx="5600700" cy="3248963"/>
                    </a:xfrm>
                    <a:prstGeom prst="rect">
                      <a:avLst/>
                    </a:prstGeom>
                    <a:noFill/>
                    <a:ln w="9525">
                      <a:noFill/>
                      <a:headEnd/>
                      <a:tailEnd/>
                    </a:ln>
                  </pic:spPr>
                </pic:pic>
              </a:graphicData>
            </a:graphic>
          </wp:inline>
        </w:drawing>
      </w:r>
      <w:bookmarkEnd w:id="78"/>
    </w:p>
    <w:p>
      <w:pPr>
        <w:pStyle w:val="ImageCaption"/>
      </w:pPr>
      <w:r>
        <w:t xml:space="preserve">Imagen 6: Indicador principal del gobierno SOA: KPI de Vínculo Contexto Negocio-SOA. Identifica y justifica los cambios SOA en relación al Valor de negocio.</w:t>
      </w:r>
    </w:p>
    <w:bookmarkEnd w:id="0"/>
    <w:p>
      <w:pPr>
        <w:pStyle w:val="Textoindependiente"/>
      </w:pPr>
      <w:r>
        <w:rPr>
          <w:iCs/>
          <w:i/>
        </w:rPr>
        <w:t xml:space="preserve">Fuente: Diagnóstico SOA. E-Service (2022).</w:t>
      </w:r>
    </w:p>
    <w:p>
      <w:pPr>
        <w:pStyle w:val="Textoindependiente"/>
      </w:pPr>
    </w:p>
    <w:bookmarkEnd w:id="79"/>
    <w:bookmarkEnd w:id="80"/>
    <w:bookmarkStart w:id="85" w:name="otros-objetivos-del-gobierno-soa"/>
    <w:p>
      <w:pPr>
        <w:pStyle w:val="Ttulo2"/>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06"/>
        </w:numPr>
        <w:pStyle w:val="Compact"/>
      </w:pPr>
      <w:r>
        <w:t xml:space="preserve">Desde el área, o rol, de gobierno SOA del FNA, servir de guía en la entrega de soluciones de software conforme a la arquitectura de referencia estregada por esta consultoría.</w:t>
      </w:r>
    </w:p>
    <w:p>
      <w:pPr>
        <w:numPr>
          <w:ilvl w:val="0"/>
          <w:numId w:val="1006"/>
        </w:numPr>
        <w:pStyle w:val="Compact"/>
      </w:pPr>
      <w:r>
        <w:t xml:space="preserve">Informar de desviaciones en la relación de efectividad de costos de los proyectos SOA del FNA en términos del área de inefectividad de costo e infactibilidad SOA.</w:t>
      </w:r>
    </w:p>
    <w:p>
      <w:pPr>
        <w:numPr>
          <w:ilvl w:val="0"/>
          <w:numId w:val="100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3a3b14f3-bfc3-4c8e-9f88-ada56966db8d"/>
    <w:p>
      <w:pPr>
        <w:pStyle w:val="CaptionedFigure"/>
      </w:pPr>
      <w:bookmarkStart w:id="84" w:name="fig:"/>
      <w:r>
        <w:drawing>
          <wp:inline>
            <wp:extent cx="5600700" cy="4177941"/>
            <wp:effectExtent b="0" l="0" r="0" t="0"/>
            <wp:docPr descr="Imagen 7: Objetivos secundarios del gobierno SOA del FNA" title="" id="82" name="Picture"/>
            <a:graphic>
              <a:graphicData uri="http://schemas.openxmlformats.org/drawingml/2006/picture">
                <pic:pic>
                  <pic:nvPicPr>
                    <pic:cNvPr descr="images/gobiernobjetivos.png" id="83" name="Picture"/>
                    <pic:cNvPicPr>
                      <a:picLocks noChangeArrowheads="1" noChangeAspect="1"/>
                    </pic:cNvPicPr>
                  </pic:nvPicPr>
                  <pic:blipFill>
                    <a:blip r:embed="rId81"/>
                    <a:stretch>
                      <a:fillRect/>
                    </a:stretch>
                  </pic:blipFill>
                  <pic:spPr bwMode="auto">
                    <a:xfrm>
                      <a:off x="0" y="0"/>
                      <a:ext cx="5600700" cy="4177941"/>
                    </a:xfrm>
                    <a:prstGeom prst="rect">
                      <a:avLst/>
                    </a:prstGeom>
                    <a:noFill/>
                    <a:ln w="9525">
                      <a:noFill/>
                      <a:headEnd/>
                      <a:tailEnd/>
                    </a:ln>
                  </pic:spPr>
                </pic:pic>
              </a:graphicData>
            </a:graphic>
          </wp:inline>
        </w:drawing>
      </w:r>
      <w:bookmarkEnd w:id="84"/>
    </w:p>
    <w:p>
      <w:pPr>
        <w:pStyle w:val="ImageCaption"/>
      </w:pPr>
      <w:r>
        <w:t xml:space="preserve">Imagen 7: Objetivos secundarios del gobierno SOA del FNA</w:t>
      </w:r>
    </w:p>
    <w:bookmarkEnd w:id="0"/>
    <w:p>
      <w:pPr>
        <w:pStyle w:val="Textoindependiente"/>
      </w:pPr>
      <w:r>
        <w:rPr>
          <w:iCs/>
          <w:i/>
        </w:rPr>
        <w:t xml:space="preserve">Fuente: Diagnóstico SOA. E-Service (2022)</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Capacidades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85"/>
    <w:bookmarkStart w:id="90" w:name="Xfb1d2aabaf6622218d5fc7b7ff0cb40a80934a6"/>
    <w:p>
      <w:pPr>
        <w:pStyle w:val="Ttulo2"/>
      </w:pPr>
      <w:r>
        <w:t xml:space="preserve">Capacidades FNA por Desarrollar para el Gobierno SOA</w:t>
      </w:r>
    </w:p>
    <w:p>
      <w:pPr>
        <w:pStyle w:val="FirstParagraph"/>
      </w:pPr>
      <w:r>
        <w:t xml:space="preserve">Las capacidades requeridas por el gobierno SOA del Fondo, que a la vez soportan a la matriz de roles y responsabilidades (RACI) del equipo de gobierno SOA, desarrolama más adelante en este producto, están relacionados directamente con los objeitvos del gobierno SOA y con los riesgos tecnológicos encontrados en la Fase 1 de E-Service (ver</w:t>
      </w:r>
      <w:r>
        <w:t xml:space="preserve"> </w:t>
      </w:r>
      <w:hyperlink r:id="rId29">
        <w:r>
          <w:rPr>
            <w:rStyle w:val="Hipervnculo"/>
          </w:rPr>
          <w:t xml:space="preserve">06a.Objetivos gobierno</w:t>
        </w:r>
      </w:hyperlink>
      <w:r>
        <w:t xml:space="preserve">, y</w:t>
      </w:r>
      <w:r>
        <w:t xml:space="preserve"> </w:t>
      </w:r>
      <w:hyperlink r:id="rId29">
        <w:r>
          <w:rPr>
            <w:rStyle w:val="Hipervnculo"/>
          </w:rPr>
          <w:t xml:space="preserve">06c.Riesgos tecnológicos SOA</w:t>
        </w:r>
      </w:hyperlink>
      <w:r>
        <w:t xml:space="preserve">).</w:t>
      </w:r>
    </w:p>
    <w:p>
      <w:pPr>
        <w:pStyle w:val="Textoindependiente"/>
      </w:pPr>
    </w:p>
    <w:p>
      <w:pPr>
        <w:pStyle w:val="Textodebloque"/>
      </w:pPr>
      <w:r>
        <w:rPr>
          <w:bCs/>
          <w:b/>
        </w:rPr>
        <w:t xml:space="preserve">Nota</w:t>
      </w:r>
      <w:r>
        <w:t xml:space="preserve">: si bien algunas capacidades se realizan mediante la oficina de arquitectura, no es del alcance de esta consultoría, E-Service, Fase II (contrato 181-2020), desarrollarlas todas. Es del alcance enunciarlas como requeridas y considerarlas en esta versión de gobierno SOA, v0.5, objeto de este proyecto. Desarrollar la completitud de estas capacidades de negocio requeriría, similar a cualquier otra capacidad del FNA, la ejecución de otro(s) proyecto de índole de capital humano.</w:t>
      </w:r>
    </w:p>
    <w:bookmarkStart w:id="0" w:name="fig:a9687299-ee4e-4ccc-a2e2-e52563aa131d"/>
    <w:p>
      <w:pPr>
        <w:pStyle w:val="CaptionedFigure"/>
      </w:pPr>
      <w:bookmarkStart w:id="89" w:name="fig:"/>
      <w:r>
        <w:drawing>
          <wp:inline>
            <wp:extent cx="5600700" cy="4853940"/>
            <wp:effectExtent b="0" l="0" r="0" t="0"/>
            <wp:docPr descr="Imagen 8: TOGAF 9, Fase G, Implementation governance para la implementación de las capacidades de ejecución de hojas de ruta del FNA." title="" id="87" name="Picture"/>
            <a:graphic>
              <a:graphicData uri="http://schemas.openxmlformats.org/drawingml/2006/picture">
                <pic:pic>
                  <pic:nvPicPr>
                    <pic:cNvPr descr="images/capacidades.png" id="88" name="Picture"/>
                    <pic:cNvPicPr>
                      <a:picLocks noChangeArrowheads="1" noChangeAspect="1"/>
                    </pic:cNvPicPr>
                  </pic:nvPicPr>
                  <pic:blipFill>
                    <a:blip r:embed="rId86"/>
                    <a:stretch>
                      <a:fillRect/>
                    </a:stretch>
                  </pic:blipFill>
                  <pic:spPr bwMode="auto">
                    <a:xfrm>
                      <a:off x="0" y="0"/>
                      <a:ext cx="5600700" cy="4853940"/>
                    </a:xfrm>
                    <a:prstGeom prst="rect">
                      <a:avLst/>
                    </a:prstGeom>
                    <a:noFill/>
                    <a:ln w="9525">
                      <a:noFill/>
                      <a:headEnd/>
                      <a:tailEnd/>
                    </a:ln>
                  </pic:spPr>
                </pic:pic>
              </a:graphicData>
            </a:graphic>
          </wp:inline>
        </w:drawing>
      </w:r>
      <w:bookmarkEnd w:id="89"/>
    </w:p>
    <w:p>
      <w:pPr>
        <w:pStyle w:val="ImageCaption"/>
      </w:pPr>
      <w:r>
        <w:t xml:space="preserve">Imagen 8: TOGAF 9, Fase G, Implementation governance para la implementación de las capacidades de ejecución de hojas de ruta del FNA.</w:t>
      </w:r>
    </w:p>
    <w:bookmarkEnd w:id="0"/>
    <w:p>
      <w:pPr>
        <w:pStyle w:val="Textoindependiente"/>
      </w:pPr>
      <w:r>
        <w:rPr>
          <w:iCs/>
          <w:i/>
        </w:rPr>
        <w:t xml:space="preserve">Fuente: Diagnóstico SOA. E-Service (2022).</w:t>
      </w:r>
    </w:p>
    <w:p>
      <w:pPr>
        <w:pStyle w:val="Textoindependiente"/>
      </w:pPr>
    </w:p>
    <w:p>
      <w:pPr>
        <w:numPr>
          <w:ilvl w:val="0"/>
          <w:numId w:val="1007"/>
        </w:numPr>
      </w:pPr>
      <w:r>
        <w:t xml:space="preserve">CAP01. Realizar e implementar estrategias y entregables para planear y analizar la arquitectura de referencia SOA del Fondo (resultado Fase 2 de este diagnóstico).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7"/>
        </w:numPr>
      </w:pPr>
      <w:r>
        <w:t xml:space="preserve">CAP02. Relacionar elementos de la arquitectura de referencia SOA (181-2020), esto es, procesos de negocio, servicios, datos, aplicaciones, componentes, tecnologías, etc., y vincular distintas perspetivas a una vertical de negocio del Fondo, como, Gestión Comercial, Cesantías, Ahorro Voluntario para desarrollar modelos consistentes y desarrollar la oportunidad de dirigir cambios y atacar los problemas de integralidad de las pruebas. Esta capacidad se realiza mediante el flujo</w:t>
      </w:r>
      <w:r>
        <w:t xml:space="preserve"> </w:t>
      </w:r>
      <w:r>
        <w:rPr>
          <w:iCs/>
          <w:i/>
        </w:rPr>
        <w:t xml:space="preserve">Colaboración Modelado con Proveedores</w:t>
      </w:r>
      <w:r>
        <w:t xml:space="preserve"> </w:t>
      </w:r>
      <w:r>
        <w:t xml:space="preserve">(FLUJ02) de trabajo de la oficina de arquitectura del FNA.</w:t>
      </w:r>
    </w:p>
    <w:p>
      <w:pPr>
        <w:numPr>
          <w:ilvl w:val="0"/>
          <w:numId w:val="1007"/>
        </w:numPr>
      </w:pPr>
      <w:r>
        <w:t xml:space="preserve">CAP03. Realizar y gestionar la puesta en marcha de hojas de ruta para cerrar brechas y alcanzar estados futuros de la arquitectura (TOGAF 9, Fase G, Implementation governance). Esta capacidad se realiza con la puesta en marcha de la oficina de arquitectura del FNA.</w:t>
      </w:r>
    </w:p>
    <w:p>
      <w:pPr>
        <w:numPr>
          <w:ilvl w:val="0"/>
          <w:numId w:val="1007"/>
        </w:numPr>
      </w:pPr>
      <w:r>
        <w:t xml:space="preserve">CAP04. Ejercitar la trazabilidad de los activos y productos de TI con los productos y decisiones de negocio de las áreas del FNA, como la vicepresidencia de Crédito y la de Operaciones ante la llegada de impactos, cambios, reformas y bajas tecnológicas. Esta capacidad se realiza con la puesta en marcha de la oficina de arquitectura del FNA.</w:t>
      </w:r>
    </w:p>
    <w:p>
      <w:pPr>
        <w:numPr>
          <w:ilvl w:val="0"/>
          <w:numId w:val="1007"/>
        </w:numPr>
      </w:pPr>
      <w:r>
        <w:t xml:space="preserve">CAP05. Realizar análisis de impacto, riesgos, costo beneficio, capacidad usada, y gestión de demanda ante la evaluación de cambios a la arquitectura de referencia SOA y activos de TI, cuando lo amerite. Esta capacidad se realiza, en parte, mediante el flujo</w:t>
      </w:r>
      <w:r>
        <w:t xml:space="preserve"> </w:t>
      </w:r>
      <w:r>
        <w:rPr>
          <w:iCs/>
          <w:i/>
        </w:rPr>
        <w:t xml:space="preserve">Colaboración Modelado con Proveedores</w:t>
      </w:r>
      <w:r>
        <w:t xml:space="preserve"> </w:t>
      </w:r>
      <w:r>
        <w:t xml:space="preserve">(FLUJ02) de trabajo de la oficina de arquitectura del FNA, y con la colaboración de los arquitectos de fábricas y proveedores.</w:t>
      </w:r>
    </w:p>
    <w:p>
      <w:pPr>
        <w:numPr>
          <w:ilvl w:val="0"/>
          <w:numId w:val="1007"/>
        </w:numPr>
      </w:pPr>
      <w:r>
        <w:t xml:space="preserve">CAP06. Emitir y gestionar los contenidos de documentación técnica, como principios, restricciones tecnológicas, marcos de trabajo, normas, diseños, y estándares para el uso de los proveedores, servicios de fábricas del FNA, planta interna, Comunicación y Planeación. Esta capacidad se realiza, en parte, con la puesta en marcha de la oficina de arquitectura del FNA.</w:t>
      </w:r>
    </w:p>
    <w:p>
      <w:pPr>
        <w:numPr>
          <w:ilvl w:val="0"/>
          <w:numId w:val="1007"/>
        </w:numPr>
      </w:pPr>
      <w:r>
        <w:t xml:space="preserve">CAP07. Emitir y actualzar el marco de trabajo de gobierno SOA que complemente el de TI del Fondo y que enuncie los procesos, procedimientos y responsabilidades de este con el fin de generar la autoridad y asistir en la toma de deciones internas (áreas de TI y Planeación del Fondo) y externas (proveedores del Fondo). Esta capacidad se realiza, en parte, con la puesta en marcha de la oficina de arquitectura del FNA.</w:t>
      </w:r>
    </w:p>
    <w:p>
      <w:pPr>
        <w:pStyle w:val="FirstParagraph"/>
      </w:pP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0"/>
    <w:bookmarkEnd w:id="91"/>
    <w:bookmarkStart w:id="9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39">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39">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92"/>
    <w:bookmarkStart w:id="9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8"/>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8"/>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8"/>
        </w:numPr>
      </w:pPr>
      <w:r>
        <w:t xml:space="preserve">PRNC03. Paridad y Ponderación. Las decisiones de arquitectura no pueden generar ventajas injustas ni favorecer a un parte sobre otra.</w:t>
      </w:r>
    </w:p>
    <w:p>
      <w:pPr>
        <w:numPr>
          <w:ilvl w:val="0"/>
          <w:numId w:val="1008"/>
        </w:numPr>
      </w:pPr>
      <w:r>
        <w:t xml:space="preserve">PRNC04. Cumplimiento de Directiva de Arquitectura. Por sobre todas las cosas, la oficina de arquitectura debe cumnplir con la realización de los siguientes políticas.</w:t>
      </w:r>
    </w:p>
    <w:bookmarkStart w:id="93" w:name="X8b32d31ec3e3276c336252d56c2666a4756b483"/>
    <w:p>
      <w:pPr>
        <w:pStyle w:val="Ttulo2"/>
      </w:pPr>
      <w:r>
        <w:t xml:space="preserve">Políticas de la Oficina de Arquitectura del FNA</w:t>
      </w:r>
    </w:p>
    <w:p>
      <w:pPr>
        <w:numPr>
          <w:ilvl w:val="0"/>
          <w:numId w:val="1009"/>
        </w:numPr>
      </w:pPr>
      <w:r>
        <w:t xml:space="preserve">Estandarización. Desarrollo, promoción aplicación de estándares de diseño de servicios, componentes, y soluciones en toda la empresa.</w:t>
      </w:r>
    </w:p>
    <w:p>
      <w:pPr>
        <w:numPr>
          <w:ilvl w:val="0"/>
          <w:numId w:val="1009"/>
        </w:numPr>
      </w:pPr>
      <w:r>
        <w:t xml:space="preserve">Coherencia. Validación y aplicación de los estándares y herramientas, en igual medida, en los diseños de servicios, componentes y soluciones de la empresa.</w:t>
      </w:r>
    </w:p>
    <w:p>
      <w:pPr>
        <w:numPr>
          <w:ilvl w:val="0"/>
          <w:numId w:val="1009"/>
        </w:numPr>
      </w:pPr>
      <w:r>
        <w:t xml:space="preserve">Reutilización. Aplicar el uso de capacidades y estrategias habilitadoras de la reutilización de diseño de servicios, componentes, y soluciones que aprovechan los activos del FNA.</w:t>
      </w:r>
    </w:p>
    <w:p>
      <w:pPr>
        <w:numPr>
          <w:ilvl w:val="0"/>
          <w:numId w:val="1009"/>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93"/>
    <w:bookmarkEnd w:id="94"/>
    <w:bookmarkStart w:id="108"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100"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10"/>
        </w:numPr>
        <w:pStyle w:val="Compact"/>
      </w:pPr>
      <w:r>
        <w:t xml:space="preserve">Recibe el requerimiento de arquitectura</w:t>
      </w:r>
    </w:p>
    <w:p>
      <w:pPr>
        <w:numPr>
          <w:ilvl w:val="1"/>
          <w:numId w:val="1011"/>
        </w:numPr>
        <w:pStyle w:val="Compact"/>
      </w:pPr>
      <w:r>
        <w:t xml:space="preserve">Inicia el proceso ADM - Fase de preliminar: alistamiento y aprobación​</w:t>
      </w:r>
    </w:p>
    <w:p>
      <w:pPr>
        <w:numPr>
          <w:ilvl w:val="1"/>
          <w:numId w:val="1011"/>
        </w:numPr>
        <w:pStyle w:val="Compact"/>
      </w:pPr>
      <w:r>
        <w:t xml:space="preserve">Arranca el modelado​ inicial o incremental, nivel 100</w:t>
      </w:r>
      <w:r>
        <w:t xml:space="preserve"> </w:t>
      </w:r>
      <w:r>
        <w:rPr>
          <w:rStyle w:val="Refdenotaalpie"/>
        </w:rPr>
        <w:footnoteReference w:id="95"/>
      </w:r>
    </w:p>
    <w:p>
      <w:pPr>
        <w:numPr>
          <w:ilvl w:val="0"/>
          <w:numId w:val="1010"/>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ba62195b-348c-491e-953f-0aeba73ebcbd"/>
    <w:p>
      <w:pPr>
        <w:pStyle w:val="CaptionedFigure"/>
      </w:pPr>
      <w:bookmarkStart w:id="99" w:name="fig:"/>
      <w:r>
        <w:drawing>
          <wp:inline>
            <wp:extent cx="5600700" cy="4502286"/>
            <wp:effectExtent b="0" l="0" r="0" t="0"/>
            <wp:docPr descr="Imagen 9: alt 1. Actividades y relaciones de los estados de un flujo de trabajo de la oficina de arquitectura con arreglo al proceso ADM de TOGAF. Flujo para los requerimientos internos de la oficina de arquitectura del FNA." title="" id="97" name="Picture"/>
            <a:graphic>
              <a:graphicData uri="http://schemas.openxmlformats.org/drawingml/2006/picture">
                <pic:pic>
                  <pic:nvPicPr>
                    <pic:cNvPr descr="images/flujoADM-1.png" id="98" name="Picture"/>
                    <pic:cNvPicPr>
                      <a:picLocks noChangeArrowheads="1" noChangeAspect="1"/>
                    </pic:cNvPicPr>
                  </pic:nvPicPr>
                  <pic:blipFill>
                    <a:blip r:embed="rId96"/>
                    <a:stretch>
                      <a:fillRect/>
                    </a:stretch>
                  </pic:blipFill>
                  <pic:spPr bwMode="auto">
                    <a:xfrm>
                      <a:off x="0" y="0"/>
                      <a:ext cx="5600700" cy="4502286"/>
                    </a:xfrm>
                    <a:prstGeom prst="rect">
                      <a:avLst/>
                    </a:prstGeom>
                    <a:noFill/>
                    <a:ln w="9525">
                      <a:noFill/>
                      <a:headEnd/>
                      <a:tailEnd/>
                    </a:ln>
                  </pic:spPr>
                </pic:pic>
              </a:graphicData>
            </a:graphic>
          </wp:inline>
        </w:drawing>
      </w:r>
      <w:bookmarkEnd w:id="99"/>
    </w:p>
    <w:p>
      <w:pPr>
        <w:pStyle w:val="ImageCaption"/>
      </w:pPr>
      <w:r>
        <w:t xml:space="preserve">Imagen 9: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100"/>
    <w:bookmarkStart w:id="102"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12"/>
        </w:numPr>
      </w:pPr>
      <w:r>
        <w:t xml:space="preserve">El Arq. FNA recibe el requerimientos de cambio</w:t>
      </w:r>
    </w:p>
    <w:p>
      <w:pPr>
        <w:numPr>
          <w:ilvl w:val="0"/>
          <w:numId w:val="1012"/>
        </w:numPr>
      </w:pPr>
      <w:r>
        <w:t xml:space="preserve">Inicia el proceso ADM - fase de preliminar: alistamiento y probación</w:t>
      </w:r>
    </w:p>
    <w:p>
      <w:pPr>
        <w:numPr>
          <w:ilvl w:val="0"/>
          <w:numId w:val="1012"/>
        </w:numPr>
      </w:pPr>
      <w:r>
        <w:t xml:space="preserve">Inicia el modelado</w:t>
      </w:r>
    </w:p>
    <w:p>
      <w:pPr>
        <w:numPr>
          <w:ilvl w:val="1"/>
          <w:numId w:val="1013"/>
        </w:numPr>
        <w:pStyle w:val="Compact"/>
      </w:pPr>
      <w:r>
        <w:t xml:space="preserve">Diseño</w:t>
      </w:r>
    </w:p>
    <w:p>
      <w:pPr>
        <w:numPr>
          <w:ilvl w:val="2"/>
          <w:numId w:val="1014"/>
        </w:numPr>
        <w:pStyle w:val="Compact"/>
      </w:pPr>
      <w:r>
        <w:t xml:space="preserve">Inicia diseño conceptual (nivel 100): appl, datos, TI, servicios, inversión</w:t>
      </w:r>
    </w:p>
    <w:p>
      <w:pPr>
        <w:numPr>
          <w:ilvl w:val="2"/>
          <w:numId w:val="1014"/>
        </w:numPr>
        <w:pStyle w:val="Compact"/>
      </w:pPr>
      <w:r>
        <w:t xml:space="preserve">Bloques de construcción abstractos</w:t>
      </w:r>
    </w:p>
    <w:p>
      <w:pPr>
        <w:numPr>
          <w:ilvl w:val="1"/>
          <w:numId w:val="1013"/>
        </w:numPr>
        <w:pStyle w:val="Compact"/>
      </w:pPr>
      <w:r>
        <w:t xml:space="preserve">Solución</w:t>
      </w:r>
    </w:p>
    <w:p>
      <w:pPr>
        <w:numPr>
          <w:ilvl w:val="2"/>
          <w:numId w:val="1015"/>
        </w:numPr>
        <w:pStyle w:val="Compact"/>
      </w:pPr>
      <w:r>
        <w:t xml:space="preserve">Bloques de construcción de solución</w:t>
      </w:r>
    </w:p>
    <w:p>
      <w:pPr>
        <w:numPr>
          <w:ilvl w:val="2"/>
          <w:numId w:val="1015"/>
        </w:numPr>
        <w:pStyle w:val="Compact"/>
      </w:pPr>
      <w:r>
        <w:t xml:space="preserve">Solicita diseño detallado (nivel 200, 300, 400 o 500) de los dominios de arquitectura: aplicaciones, datos, infraestructura y servicios</w:t>
      </w:r>
    </w:p>
    <w:p>
      <w:pPr>
        <w:numPr>
          <w:ilvl w:val="0"/>
          <w:numId w:val="1012"/>
        </w:numPr>
      </w:pPr>
      <w:r>
        <w:t xml:space="preserve">El Arquitecto FNA inicia los análisis mínimos</w:t>
      </w:r>
    </w:p>
    <w:p>
      <w:pPr>
        <w:numPr>
          <w:ilvl w:val="1"/>
          <w:numId w:val="1016"/>
        </w:numPr>
        <w:pStyle w:val="Compact"/>
      </w:pPr>
      <w:r>
        <w:t xml:space="preserve">Análisis de impacto</w:t>
      </w:r>
    </w:p>
    <w:p>
      <w:pPr>
        <w:numPr>
          <w:ilvl w:val="1"/>
          <w:numId w:val="1016"/>
        </w:numPr>
        <w:pStyle w:val="Compact"/>
      </w:pPr>
      <w:r>
        <w:t xml:space="preserve">de Complejidad</w:t>
      </w:r>
    </w:p>
    <w:p>
      <w:pPr>
        <w:numPr>
          <w:ilvl w:val="1"/>
          <w:numId w:val="1016"/>
        </w:numPr>
        <w:pStyle w:val="Compact"/>
      </w:pPr>
      <w:r>
        <w:t xml:space="preserve">y Costo / beneficio</w:t>
      </w:r>
    </w:p>
    <w:p>
      <w:pPr>
        <w:numPr>
          <w:ilvl w:val="0"/>
          <w:numId w:val="1012"/>
        </w:numPr>
      </w:pPr>
      <w:r>
        <w:t xml:space="preserve">El Arquitecto FNA (de la oficina de arquitectura) solicita al arquitecto de solución, sea de proveedor interno o externo, el inicio del Proceso ADM - fase de implementación y fase de gobierno</w:t>
      </w:r>
    </w:p>
    <w:p>
      <w:pPr>
        <w:numPr>
          <w:ilvl w:val="1"/>
          <w:numId w:val="1017"/>
        </w:numPr>
        <w:pStyle w:val="Compact"/>
      </w:pPr>
      <w:r>
        <w:t xml:space="preserve">El arquitecto de solución modela los bloques de solución</w:t>
      </w:r>
      <w:r>
        <w:t xml:space="preserve"> </w:t>
      </w:r>
      <w:r>
        <w:rPr>
          <w:rStyle w:val="Refdenotaalpie"/>
        </w:rPr>
        <w:footnoteReference w:id="101"/>
      </w:r>
    </w:p>
    <w:p>
      <w:pPr>
        <w:numPr>
          <w:ilvl w:val="0"/>
          <w:numId w:val="1012"/>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102"/>
    <w:bookmarkStart w:id="107"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0f59ea12-7e35-46bf-a40a-f2c213423fff"/>
    <w:p>
      <w:pPr>
        <w:pStyle w:val="CaptionedFigure"/>
      </w:pPr>
      <w:bookmarkStart w:id="106" w:name="fig:"/>
      <w:r>
        <w:drawing>
          <wp:inline>
            <wp:extent cx="5600700" cy="4460578"/>
            <wp:effectExtent b="0" l="0" r="0" t="0"/>
            <wp:docPr descr="Imagen 10: alt 2. Actividades y relaciones de los estados de un flujo de trabajo de la oficina de arquitectura con arreglo al proceso ADM de TOGAF. Flujo para la oficina de arquitectura en conjunto con proveedores del FNA." title="" id="104" name="Picture"/>
            <a:graphic>
              <a:graphicData uri="http://schemas.openxmlformats.org/drawingml/2006/picture">
                <pic:pic>
                  <pic:nvPicPr>
                    <pic:cNvPr descr="images/flujoADM-2.png" id="105" name="Picture"/>
                    <pic:cNvPicPr>
                      <a:picLocks noChangeArrowheads="1" noChangeAspect="1"/>
                    </pic:cNvPicPr>
                  </pic:nvPicPr>
                  <pic:blipFill>
                    <a:blip r:embed="rId103"/>
                    <a:stretch>
                      <a:fillRect/>
                    </a:stretch>
                  </pic:blipFill>
                  <pic:spPr bwMode="auto">
                    <a:xfrm>
                      <a:off x="0" y="0"/>
                      <a:ext cx="5600700" cy="4460578"/>
                    </a:xfrm>
                    <a:prstGeom prst="rect">
                      <a:avLst/>
                    </a:prstGeom>
                    <a:noFill/>
                    <a:ln w="9525">
                      <a:noFill/>
                      <a:headEnd/>
                      <a:tailEnd/>
                    </a:ln>
                  </pic:spPr>
                </pic:pic>
              </a:graphicData>
            </a:graphic>
          </wp:inline>
        </w:drawing>
      </w:r>
      <w:bookmarkEnd w:id="106"/>
    </w:p>
    <w:p>
      <w:pPr>
        <w:pStyle w:val="ImageCaption"/>
      </w:pPr>
      <w:r>
        <w:t xml:space="preserve">Imagen 10: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07"/>
    <w:bookmarkEnd w:id="108"/>
    <w:bookmarkStart w:id="114"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18"/>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18"/>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18"/>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bookmarkStart w:id="113"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245f5e12-98a2-43b6-a328-f469fc1befd0"/>
    <w:p>
      <w:pPr>
        <w:pStyle w:val="CaptionedFigure"/>
      </w:pPr>
      <w:bookmarkStart w:id="112" w:name="fig:"/>
      <w:r>
        <w:drawing>
          <wp:inline>
            <wp:extent cx="5600700" cy="4089497"/>
            <wp:effectExtent b="0" l="0" r="0" t="0"/>
            <wp:docPr descr="Imagen 11: Funciones operativas de la Oficina de Arquitectura del FNA. Operaciones solicitadas a la oficina." title="" id="110" name="Picture"/>
            <a:graphic>
              <a:graphicData uri="http://schemas.openxmlformats.org/drawingml/2006/picture">
                <pic:pic>
                  <pic:nvPicPr>
                    <pic:cNvPr descr="images/funcionesof.png" id="111" name="Picture"/>
                    <pic:cNvPicPr>
                      <a:picLocks noChangeArrowheads="1" noChangeAspect="1"/>
                    </pic:cNvPicPr>
                  </pic:nvPicPr>
                  <pic:blipFill>
                    <a:blip r:embed="rId109"/>
                    <a:stretch>
                      <a:fillRect/>
                    </a:stretch>
                  </pic:blipFill>
                  <pic:spPr bwMode="auto">
                    <a:xfrm>
                      <a:off x="0" y="0"/>
                      <a:ext cx="5600700" cy="4089497"/>
                    </a:xfrm>
                    <a:prstGeom prst="rect">
                      <a:avLst/>
                    </a:prstGeom>
                    <a:noFill/>
                    <a:ln w="9525">
                      <a:noFill/>
                      <a:headEnd/>
                      <a:tailEnd/>
                    </a:ln>
                  </pic:spPr>
                </pic:pic>
              </a:graphicData>
            </a:graphic>
          </wp:inline>
        </w:drawing>
      </w:r>
      <w:bookmarkEnd w:id="112"/>
    </w:p>
    <w:p>
      <w:pPr>
        <w:pStyle w:val="ImageCaption"/>
      </w:pPr>
      <w:r>
        <w:t xml:space="preserve">Imagen 11: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19"/>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19"/>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19"/>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113"/>
    <w:bookmarkEnd w:id="114"/>
    <w:bookmarkStart w:id="124"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20"/>
        </w:numPr>
        <w:pStyle w:val="Compact"/>
      </w:pPr>
      <w:r>
        <w:t xml:space="preserve">RESPC01. Vigilancia de alineación negocio-arquitectura</w:t>
      </w:r>
    </w:p>
    <w:p>
      <w:pPr>
        <w:numPr>
          <w:ilvl w:val="0"/>
          <w:numId w:val="1020"/>
        </w:numPr>
        <w:pStyle w:val="Compact"/>
      </w:pPr>
      <w:r>
        <w:t xml:space="preserve">RESPC02. Equilibrio arquitectura y procesos SOA</w:t>
      </w:r>
    </w:p>
    <w:p>
      <w:pPr>
        <w:numPr>
          <w:ilvl w:val="0"/>
          <w:numId w:val="1020"/>
        </w:numPr>
        <w:pStyle w:val="Compact"/>
      </w:pPr>
      <w:r>
        <w:t xml:space="preserve">RESPC03. Supervisión de efectividad y factibilidad SOA</w:t>
      </w:r>
    </w:p>
    <w:p>
      <w:pPr>
        <w:numPr>
          <w:ilvl w:val="0"/>
          <w:numId w:val="1020"/>
        </w:numPr>
        <w:pStyle w:val="Compact"/>
      </w:pPr>
      <w:r>
        <w:t xml:space="preserve">RESPC04. Mejora de los índices de efectividad (madurez) SOA</w:t>
      </w:r>
    </w:p>
    <w:p>
      <w:pPr>
        <w:numPr>
          <w:ilvl w:val="0"/>
          <w:numId w:val="1020"/>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76615d8d-1c69-4d33-9566-c090dac2a936"/>
    <w:p>
      <w:pPr>
        <w:pStyle w:val="CaptionedFigure"/>
      </w:pPr>
      <w:bookmarkStart w:id="118" w:name="fig:"/>
      <w:r>
        <w:drawing>
          <wp:inline>
            <wp:extent cx="5600700" cy="4402410"/>
            <wp:effectExtent b="0" l="0" r="0" t="0"/>
            <wp:docPr descr="Imagen 12: Funciones (responsabilidades) de la Oficina de Arquitectura del FNA. Gobierno SOA, v0.5." title="" id="116" name="Picture"/>
            <a:graphic>
              <a:graphicData uri="http://schemas.openxmlformats.org/drawingml/2006/picture">
                <pic:pic>
                  <pic:nvPicPr>
                    <pic:cNvPr descr="images/responsabilidadgob.png" id="117" name="Picture"/>
                    <pic:cNvPicPr>
                      <a:picLocks noChangeArrowheads="1" noChangeAspect="1"/>
                    </pic:cNvPicPr>
                  </pic:nvPicPr>
                  <pic:blipFill>
                    <a:blip r:embed="rId115"/>
                    <a:stretch>
                      <a:fillRect/>
                    </a:stretch>
                  </pic:blipFill>
                  <pic:spPr bwMode="auto">
                    <a:xfrm>
                      <a:off x="0" y="0"/>
                      <a:ext cx="5600700" cy="4402410"/>
                    </a:xfrm>
                    <a:prstGeom prst="rect">
                      <a:avLst/>
                    </a:prstGeom>
                    <a:noFill/>
                    <a:ln w="9525">
                      <a:noFill/>
                      <a:headEnd/>
                      <a:tailEnd/>
                    </a:ln>
                  </pic:spPr>
                </pic:pic>
              </a:graphicData>
            </a:graphic>
          </wp:inline>
        </w:drawing>
      </w:r>
      <w:bookmarkEnd w:id="118"/>
    </w:p>
    <w:p>
      <w:pPr>
        <w:pStyle w:val="ImageCaption"/>
      </w:pPr>
      <w:r>
        <w:t xml:space="preserve">Imagen 12: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119" w:name="X9a4995a2dce7dd649f71e6943a0b2610c978b6f"/>
    <w:p>
      <w:pPr>
        <w:pStyle w:val="Ttulo2"/>
      </w:pPr>
      <w:r>
        <w:t xml:space="preserve">Vigilancia de alineación negocio-arquitectura</w:t>
      </w:r>
    </w:p>
    <w:bookmarkEnd w:id="119"/>
    <w:bookmarkStart w:id="120" w:name="equilibrio-arquitectura-y-procesos-soa"/>
    <w:p>
      <w:pPr>
        <w:pStyle w:val="Ttulo2"/>
      </w:pPr>
      <w:r>
        <w:t xml:space="preserve">Equilibrio arquitectura y procesos SOA</w:t>
      </w:r>
    </w:p>
    <w:bookmarkEnd w:id="120"/>
    <w:bookmarkStart w:id="121" w:name="X9e585d85ac198fb4fa428defd3c13593f667a0e"/>
    <w:p>
      <w:pPr>
        <w:pStyle w:val="Ttulo2"/>
      </w:pPr>
      <w:r>
        <w:t xml:space="preserve">Supervisión de efectividad y factibilidad SOA</w:t>
      </w:r>
    </w:p>
    <w:bookmarkEnd w:id="121"/>
    <w:bookmarkStart w:id="122" w:name="Xcf3fb5954575e9f517c883c7c5b2a445b0eccea"/>
    <w:p>
      <w:pPr>
        <w:pStyle w:val="Ttulo2"/>
      </w:pPr>
      <w:r>
        <w:t xml:space="preserve">Mejora de los índices de efectividad (madurez) SOA</w:t>
      </w:r>
    </w:p>
    <w:bookmarkEnd w:id="122"/>
    <w:bookmarkStart w:id="123" w:name="Xc1322487bb449403080f53ca37d5f186008267f"/>
    <w:p>
      <w:pPr>
        <w:pStyle w:val="Ttulo2"/>
      </w:pPr>
      <w:r>
        <w:t xml:space="preserve">Consideraciones para la puesta en marcha del gobierno SOA en el FNA</w:t>
      </w: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1.fe5d871 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23"/>
    <w:bookmarkEnd w:id="124"/>
    <w:bookmarkStart w:id="141"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f56d027f-be69-4a3d-90a2-ebba7fcd36a2"/>
    <w:p>
      <w:pPr>
        <w:pStyle w:val="CaptionedFigure"/>
      </w:pPr>
      <w:bookmarkStart w:id="128" w:name="fig:"/>
      <w:r>
        <w:drawing>
          <wp:inline>
            <wp:extent cx="5600700" cy="3900354"/>
            <wp:effectExtent b="0" l="0" r="0" t="0"/>
            <wp:docPr descr="Imagen 13: Actividades y relaciones del proceso principal de gobierno SOA para el FNA. Relación con capacidades y objetivos SOA necesarios para el FNA." title="" id="126" name="Picture"/>
            <a:graphic>
              <a:graphicData uri="http://schemas.openxmlformats.org/drawingml/2006/picture">
                <pic:pic>
                  <pic:nvPicPr>
                    <pic:cNvPr descr="images/proceso-gob.png" id="127" name="Picture"/>
                    <pic:cNvPicPr>
                      <a:picLocks noChangeArrowheads="1" noChangeAspect="1"/>
                    </pic:cNvPicPr>
                  </pic:nvPicPr>
                  <pic:blipFill>
                    <a:blip r:embed="rId125"/>
                    <a:stretch>
                      <a:fillRect/>
                    </a:stretch>
                  </pic:blipFill>
                  <pic:spPr bwMode="auto">
                    <a:xfrm>
                      <a:off x="0" y="0"/>
                      <a:ext cx="5600700" cy="3900354"/>
                    </a:xfrm>
                    <a:prstGeom prst="rect">
                      <a:avLst/>
                    </a:prstGeom>
                    <a:noFill/>
                    <a:ln w="9525">
                      <a:noFill/>
                      <a:headEnd/>
                      <a:tailEnd/>
                    </a:ln>
                  </pic:spPr>
                </pic:pic>
              </a:graphicData>
            </a:graphic>
          </wp:inline>
        </w:drawing>
      </w:r>
      <w:bookmarkEnd w:id="128"/>
    </w:p>
    <w:p>
      <w:pPr>
        <w:pStyle w:val="ImageCaption"/>
      </w:pPr>
      <w:r>
        <w:t xml:space="preserve">Imagen 13: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129"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129"/>
    <w:bookmarkStart w:id="130"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130"/>
    <w:bookmarkStart w:id="131" w:name="X1dff0e18553c7791a6591965f046615447427d7"/>
    <w:p>
      <w:pPr>
        <w:pStyle w:val="Ttulo2"/>
      </w:pPr>
      <w:r>
        <w:t xml:space="preserve">Anexo 1. Susceptibilidades de Gobierno (PR01)</w:t>
      </w:r>
    </w:p>
    <w:p>
      <w:pPr>
        <w:numPr>
          <w:ilvl w:val="0"/>
          <w:numId w:val="1021"/>
        </w:numPr>
        <w:pStyle w:val="Compact"/>
      </w:pPr>
      <w:r>
        <w:t xml:space="preserve">Debilidad en la Completitud de los CU</w:t>
      </w:r>
    </w:p>
    <w:p>
      <w:pPr>
        <w:numPr>
          <w:ilvl w:val="0"/>
          <w:numId w:val="1021"/>
        </w:numPr>
        <w:pStyle w:val="Compact"/>
      </w:pPr>
      <w:r>
        <w:t xml:space="preserve">Herramientas y Métodos de QA relacionados con sistemas distribuidos y QA​</w:t>
      </w:r>
    </w:p>
    <w:p>
      <w:pPr>
        <w:numPr>
          <w:ilvl w:val="0"/>
          <w:numId w:val="1021"/>
        </w:numPr>
        <w:pStyle w:val="Compact"/>
      </w:pPr>
      <w:r>
        <w:t xml:space="preserve">Normalización y fortalecimiento de los ambientes QA ​</w:t>
      </w:r>
    </w:p>
    <w:p>
      <w:pPr>
        <w:numPr>
          <w:ilvl w:val="0"/>
          <w:numId w:val="1021"/>
        </w:numPr>
        <w:pStyle w:val="Compact"/>
      </w:pPr>
      <w:r>
        <w:t xml:space="preserve">Gestión del diseño y arquitecturas: categorización de complejidad​</w:t>
      </w:r>
    </w:p>
    <w:p>
      <w:pPr>
        <w:numPr>
          <w:ilvl w:val="0"/>
          <w:numId w:val="1021"/>
        </w:numPr>
        <w:pStyle w:val="Compact"/>
      </w:pPr>
      <w:r>
        <w:t xml:space="preserve">Correspondencia complejidad - diseño</w:t>
      </w:r>
    </w:p>
    <w:p>
      <w:pPr>
        <w:numPr>
          <w:ilvl w:val="0"/>
          <w:numId w:val="1021"/>
        </w:numPr>
        <w:pStyle w:val="Compact"/>
      </w:pPr>
      <w:r>
        <w:t xml:space="preserve">Débil (o inexistente) procedimiento de evaluación de inversión​</w:t>
      </w:r>
    </w:p>
    <w:p>
      <w:pPr>
        <w:numPr>
          <w:ilvl w:val="0"/>
          <w:numId w:val="1021"/>
        </w:numPr>
        <w:pStyle w:val="Compact"/>
      </w:pPr>
      <w:r>
        <w:t xml:space="preserve">Débil (o inexistente) formalidad para el cálculo de eficacia un inversión​ TI, proveedores</w:t>
      </w:r>
    </w:p>
    <w:p>
      <w:pPr>
        <w:numPr>
          <w:ilvl w:val="0"/>
          <w:numId w:val="1021"/>
        </w:numPr>
        <w:pStyle w:val="Compact"/>
      </w:pPr>
      <w:r>
        <w:t xml:space="preserve">Normnalizar registro de resultados de las entregas de proveedores​ (confiabilidad)</w:t>
      </w:r>
    </w:p>
    <w:p>
      <w:pPr>
        <w:numPr>
          <w:ilvl w:val="0"/>
          <w:numId w:val="1021"/>
        </w:numPr>
        <w:pStyle w:val="Compact"/>
      </w:pPr>
      <w:r>
        <w:t xml:space="preserve">Asignación de responsables de gestión de las inversiones de TI</w:t>
      </w:r>
    </w:p>
    <w:p>
      <w:pPr>
        <w:pStyle w:val="FirstParagraph"/>
      </w:pPr>
    </w:p>
    <w:bookmarkEnd w:id="131"/>
    <w:bookmarkStart w:id="132" w:name="Xd820393e281519037d62de8a6e14b7ac62e8045"/>
    <w:p>
      <w:pPr>
        <w:pStyle w:val="Ttulo2"/>
      </w:pPr>
      <w:r>
        <w:t xml:space="preserve">Anexo 2. Riesgos Técnicos FNA (E-Service, 2022)</w:t>
      </w:r>
    </w:p>
    <w:p>
      <w:pPr>
        <w:numPr>
          <w:ilvl w:val="0"/>
          <w:numId w:val="1022"/>
        </w:numPr>
        <w:pStyle w:val="Compact"/>
      </w:pPr>
      <w:r>
        <w:t xml:space="preserve">R01. Riesgo de agilidad limitada (ver imagen 1)</w:t>
      </w:r>
    </w:p>
    <w:p>
      <w:pPr>
        <w:numPr>
          <w:ilvl w:val="0"/>
          <w:numId w:val="1022"/>
        </w:numPr>
        <w:pStyle w:val="Compact"/>
      </w:pPr>
      <w:r>
        <w:t xml:space="preserve">R02. Riesgo de baja orquestación SOA (ver imagen 2a y 2b)</w:t>
      </w:r>
    </w:p>
    <w:p>
      <w:pPr>
        <w:numPr>
          <w:ilvl w:val="0"/>
          <w:numId w:val="1022"/>
        </w:numPr>
        <w:pStyle w:val="Compact"/>
      </w:pPr>
      <w:r>
        <w:t xml:space="preserve">R03. Riesgo de crecimiento de dependencias entre servicios SOA</w:t>
      </w:r>
    </w:p>
    <w:p>
      <w:pPr>
        <w:numPr>
          <w:ilvl w:val="0"/>
          <w:numId w:val="1022"/>
        </w:numPr>
        <w:pStyle w:val="Compact"/>
      </w:pPr>
      <w:r>
        <w:t xml:space="preserve">R04. Riesgo de crecimiento de adaptadores particulares –opuesto al estándar– (ver imagen 3)</w:t>
      </w:r>
    </w:p>
    <w:p>
      <w:pPr>
        <w:numPr>
          <w:ilvl w:val="0"/>
          <w:numId w:val="1022"/>
        </w:numPr>
        <w:pStyle w:val="Compact"/>
      </w:pPr>
      <w:r>
        <w:t xml:space="preserve">R05. Riesgo de baja reutilización de servicios SOA</w:t>
      </w:r>
    </w:p>
    <w:p>
      <w:pPr>
        <w:numPr>
          <w:ilvl w:val="0"/>
          <w:numId w:val="1022"/>
        </w:numPr>
        <w:pStyle w:val="Compact"/>
      </w:pPr>
      <w:r>
        <w:t xml:space="preserve">R06. Riesgo de permanencia de aplicaciones silos</w:t>
      </w:r>
    </w:p>
    <w:p>
      <w:pPr>
        <w:numPr>
          <w:ilvl w:val="0"/>
          <w:numId w:val="1022"/>
        </w:numPr>
        <w:pStyle w:val="Compact"/>
      </w:pPr>
      <w:r>
        <w:t xml:space="preserve">R07. Riesgo de falta de trazabilidad para la evolución e implementación de los servicios SOA</w:t>
      </w:r>
    </w:p>
    <w:bookmarkEnd w:id="132"/>
    <w:bookmarkStart w:id="137"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b5c5a12e-506c-4548-ae49-8bd331974e42"/>
    <w:p>
      <w:pPr>
        <w:pStyle w:val="CaptionedFigure"/>
      </w:pPr>
      <w:bookmarkStart w:id="136" w:name="fig:"/>
      <w:r>
        <w:drawing>
          <wp:inline>
            <wp:extent cx="4406900" cy="5791200"/>
            <wp:effectExtent b="0" l="0" r="0" t="0"/>
            <wp:docPr descr="Imagen 14: TOGAF 9, Fase G, Implementation governance para la implementación de las capacidades de ejecución de hojas de ruta del FNA." title="" id="134" name="Picture"/>
            <a:graphic>
              <a:graphicData uri="http://schemas.openxmlformats.org/drawingml/2006/picture">
                <pic:pic>
                  <pic:nvPicPr>
                    <pic:cNvPr descr="images/adm.gif" id="135" name="Picture"/>
                    <pic:cNvPicPr>
                      <a:picLocks noChangeArrowheads="1" noChangeAspect="1"/>
                    </pic:cNvPicPr>
                  </pic:nvPicPr>
                  <pic:blipFill>
                    <a:blip r:embed="rId133"/>
                    <a:stretch>
                      <a:fillRect/>
                    </a:stretch>
                  </pic:blipFill>
                  <pic:spPr bwMode="auto">
                    <a:xfrm>
                      <a:off x="0" y="0"/>
                      <a:ext cx="4406900" cy="5791200"/>
                    </a:xfrm>
                    <a:prstGeom prst="rect">
                      <a:avLst/>
                    </a:prstGeom>
                    <a:noFill/>
                    <a:ln w="9525">
                      <a:noFill/>
                      <a:headEnd/>
                      <a:tailEnd/>
                    </a:ln>
                  </pic:spPr>
                </pic:pic>
              </a:graphicData>
            </a:graphic>
          </wp:inline>
        </w:drawing>
      </w:r>
      <w:bookmarkEnd w:id="136"/>
    </w:p>
    <w:p>
      <w:pPr>
        <w:pStyle w:val="ImageCaption"/>
      </w:pPr>
      <w:r>
        <w:t xml:space="preserve">Imagen 14: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137"/>
    <w:bookmarkStart w:id="140"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138" w:name="especificaciones"/>
    <w:p>
      <w:pPr>
        <w:pStyle w:val="Ttulo3"/>
      </w:pPr>
      <w:r>
        <w:t xml:space="preserve">Especificaciones</w:t>
      </w:r>
    </w:p>
    <w:p>
      <w:pPr>
        <w:numPr>
          <w:ilvl w:val="0"/>
          <w:numId w:val="1023"/>
        </w:numPr>
        <w:pStyle w:val="Compact"/>
      </w:pPr>
      <w:r>
        <w:t xml:space="preserve">Tipo de contenido: texto</w:t>
      </w:r>
    </w:p>
    <w:p>
      <w:pPr>
        <w:numPr>
          <w:ilvl w:val="0"/>
          <w:numId w:val="1023"/>
        </w:numPr>
        <w:pStyle w:val="Compact"/>
      </w:pPr>
      <w:r>
        <w:t xml:space="preserve">Documento versionado</w:t>
      </w:r>
    </w:p>
    <w:p>
      <w:pPr>
        <w:numPr>
          <w:ilvl w:val="0"/>
          <w:numId w:val="1023"/>
        </w:numPr>
        <w:pStyle w:val="Compact"/>
      </w:pPr>
      <w:r>
        <w:t xml:space="preserve">Referencias a partes y elementos del modelo</w:t>
      </w:r>
    </w:p>
    <w:p>
      <w:pPr>
        <w:numPr>
          <w:ilvl w:val="0"/>
          <w:numId w:val="1023"/>
        </w:numPr>
        <w:pStyle w:val="Compact"/>
      </w:pPr>
      <w:r>
        <w:t xml:space="preserve">Referencias a imágenes y contenidos del repositorio de arquitectura FNA</w:t>
      </w:r>
    </w:p>
    <w:bookmarkEnd w:id="138"/>
    <w:bookmarkStart w:id="139"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1.fe5d871</w:t>
      </w:r>
    </w:p>
    <w:p>
      <w:pPr>
        <w:pStyle w:val="FirstParagraph"/>
      </w:pPr>
    </w:p>
    <w:bookmarkEnd w:id="139"/>
    <w:bookmarkEnd w:id="140"/>
    <w:bookmarkEnd w:id="141"/>
    <w:bookmarkStart w:id="149"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142" w:name="justificación-1"/>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142"/>
    <w:bookmarkStart w:id="143" w:name="contenidos-1"/>
    <w:p>
      <w:pPr>
        <w:pStyle w:val="Ttulo2"/>
      </w:pPr>
      <w:r>
        <w:t xml:space="preserve">Contenidos</w:t>
      </w:r>
    </w:p>
    <w:p>
      <w:pPr>
        <w:numPr>
          <w:ilvl w:val="0"/>
          <w:numId w:val="1024"/>
        </w:numPr>
        <w:pStyle w:val="Compact"/>
      </w:pPr>
      <w:r>
        <w:t xml:space="preserve">Modelo operativo del Comité de Gobierno de Arquitecturas del FNA: ámbitos y alcances del comité</w:t>
      </w:r>
    </w:p>
    <w:p>
      <w:pPr>
        <w:numPr>
          <w:ilvl w:val="0"/>
          <w:numId w:val="1024"/>
        </w:numPr>
        <w:pStyle w:val="Compact"/>
      </w:pPr>
      <w:r>
        <w:t xml:space="preserve">Consideraciones para la puesta en marcha de la bitácora de decisiones de arquitectura</w:t>
      </w:r>
    </w:p>
    <w:p>
      <w:pPr>
        <w:numPr>
          <w:ilvl w:val="0"/>
          <w:numId w:val="1024"/>
        </w:numPr>
        <w:pStyle w:val="Compact"/>
      </w:pPr>
      <w:r>
        <w:t xml:space="preserve">Respositorio y gestión de los requerimientos de arquitectura del FNA (flexibilidad, confiabilidad, rendimiento, mantenibilidad)</w:t>
      </w:r>
    </w:p>
    <w:p>
      <w:pPr>
        <w:numPr>
          <w:ilvl w:val="0"/>
          <w:numId w:val="1024"/>
        </w:numPr>
        <w:pStyle w:val="Compact"/>
      </w:pPr>
      <w:r>
        <w:t xml:space="preserve">Métodos de evaluación de arquitecturas para el FNA</w:t>
      </w:r>
    </w:p>
    <w:p>
      <w:pPr>
        <w:pStyle w:val="FirstParagraph"/>
      </w:pPr>
    </w:p>
    <w:bookmarkEnd w:id="143"/>
    <w:bookmarkStart w:id="144" w:name="criterios-de-aceptación-1"/>
    <w:p>
      <w:pPr>
        <w:pStyle w:val="Ttulo2"/>
      </w:pPr>
      <w:r>
        <w:t xml:space="preserve">Criterios de Aceptación</w:t>
      </w:r>
    </w:p>
    <w:p>
      <w:pPr>
        <w:numPr>
          <w:ilvl w:val="0"/>
          <w:numId w:val="1025"/>
        </w:numPr>
        <w:pStyle w:val="Compact"/>
      </w:pPr>
      <w:r>
        <w:t xml:space="preserve">Especificaciones de la bitácora de decisiones de arquitectura</w:t>
      </w:r>
    </w:p>
    <w:p>
      <w:pPr>
        <w:numPr>
          <w:ilvl w:val="0"/>
          <w:numId w:val="1025"/>
        </w:numPr>
        <w:pStyle w:val="Compact"/>
      </w:pPr>
      <w:r>
        <w:t xml:space="preserve">Especificaciones de funcionamiento del Comité de Gobierno de Arquitecturas del FNA</w:t>
      </w:r>
    </w:p>
    <w:p>
      <w:pPr>
        <w:numPr>
          <w:ilvl w:val="0"/>
          <w:numId w:val="1025"/>
        </w:numPr>
        <w:pStyle w:val="Compact"/>
      </w:pPr>
      <w:r>
        <w:t xml:space="preserve">Esquema de comunicación y publicación de cambios a las arquitecturas del FNA</w:t>
      </w:r>
    </w:p>
    <w:p>
      <w:pPr>
        <w:pStyle w:val="FirstParagraph"/>
      </w:pPr>
    </w:p>
    <w:bookmarkEnd w:id="144"/>
    <w:bookmarkStart w:id="148" w:name="modelo-de-implementación-del-pry01-1"/>
    <w:p>
      <w:pPr>
        <w:pStyle w:val="Ttulo2"/>
      </w:pPr>
      <w:r>
        <w:t xml:space="preserve">Modelo de Implementación del PRY01</w:t>
      </w:r>
    </w:p>
    <w:bookmarkStart w:id="0" w:name="fig:691a0c6d-b926-4f40-ae94-47ce15ee33bc"/>
    <w:p>
      <w:pPr>
        <w:pStyle w:val="CaptionedFigure"/>
      </w:pPr>
      <w:bookmarkStart w:id="147" w:name="fig:"/>
      <w:r>
        <w:drawing>
          <wp:inline>
            <wp:extent cx="5600700" cy="4499951"/>
            <wp:effectExtent b="0" l="0" r="0" t="0"/>
            <wp:docPr descr="Imagen 15: Plan de Implementación del Proyecto Hoja de Ruta E-Service FNA, 2023. Abril 2023 a Agosto 2023" title="" id="145" name="Picture"/>
            <a:graphic>
              <a:graphicData uri="http://schemas.openxmlformats.org/drawingml/2006/picture">
                <pic:pic>
                  <pic:nvPicPr>
                    <pic:cNvPr descr="images/pry1gobierno.jpg" id="14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147"/>
    </w:p>
    <w:p>
      <w:pPr>
        <w:pStyle w:val="ImageCaption"/>
      </w:pPr>
      <w:r>
        <w:t xml:space="preserve">Imagen 15: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48"/>
    <w:bookmarkEnd w:id="149"/>
    <w:bookmarkStart w:id="156"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150"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39">
        <w:r>
          <w:rPr>
            <w:rStyle w:val="Hipervnculo"/>
          </w:rPr>
          <w:t xml:space="preserve">Modelo de Gobierno y CCF</w:t>
        </w:r>
      </w:hyperlink>
      <w:r>
        <w:t xml:space="preserve">).</w:t>
      </w:r>
    </w:p>
    <w:bookmarkEnd w:id="150"/>
    <w:bookmarkStart w:id="151"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26"/>
        </w:numPr>
        <w:pStyle w:val="Compact"/>
      </w:pPr>
      <w:r>
        <w:t xml:space="preserve">Guiar y priorización los esfuerzos de la oficina de arquitectura</w:t>
      </w:r>
    </w:p>
    <w:p>
      <w:pPr>
        <w:numPr>
          <w:ilvl w:val="0"/>
          <w:numId w:val="1026"/>
        </w:numPr>
        <w:pStyle w:val="Compact"/>
      </w:pPr>
      <w:r>
        <w:t xml:space="preserve">Ejercitar los roles y responsabilidades del gobierno SOA del FNA, y respaldar su supervisión y la rendición de cuentas de la oficina de arquitectura</w:t>
      </w:r>
    </w:p>
    <w:p>
      <w:pPr>
        <w:numPr>
          <w:ilvl w:val="0"/>
          <w:numId w:val="1026"/>
        </w:numPr>
        <w:pStyle w:val="Compact"/>
      </w:pPr>
      <w:r>
        <w:t xml:space="preserve">Efectivizar el proceso de toma de decisiones sobre los trabajos de arquitectura</w:t>
      </w:r>
    </w:p>
    <w:p>
      <w:pPr>
        <w:numPr>
          <w:ilvl w:val="0"/>
          <w:numId w:val="1026"/>
        </w:numPr>
        <w:pStyle w:val="Compact"/>
      </w:pPr>
      <w:r>
        <w:t xml:space="preserve">Verificar la aplicación de los métodos (procedimientos normales) de arquitectura del FNA y del gobierno SOA del FNA</w:t>
      </w:r>
    </w:p>
    <w:p>
      <w:pPr>
        <w:numPr>
          <w:ilvl w:val="0"/>
          <w:numId w:val="1026"/>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26"/>
        </w:numPr>
        <w:pStyle w:val="Compact"/>
      </w:pPr>
      <w:r>
        <w:t xml:space="preserve">Procurar la visibilidad de las áreas del FNA del trabajo de la oficina de arquitectura</w:t>
      </w:r>
    </w:p>
    <w:p>
      <w:pPr>
        <w:pStyle w:val="FirstParagraph"/>
      </w:pPr>
    </w:p>
    <w:bookmarkEnd w:id="151"/>
    <w:bookmarkStart w:id="155"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152"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152"/>
    <w:bookmarkStart w:id="153"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39">
        <w:r>
          <w:rPr>
            <w:rStyle w:val="Hipervnculo"/>
          </w:rPr>
          <w:t xml:space="preserve">Bloques de Construcción Requeridos por Arquitectura, en Flujos de Trabajo Oficina de Arquitectura</w:t>
        </w:r>
      </w:hyperlink>
      <w:r>
        <w:t xml:space="preserve">)</w:t>
      </w:r>
    </w:p>
    <w:bookmarkEnd w:id="153"/>
    <w:bookmarkStart w:id="154"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42">
        <w:r>
          <w:rPr>
            <w:rStyle w:val="Hipervnculo"/>
          </w:rPr>
          <w:t xml:space="preserve">Políticas de la Oficina de Arquitectura del FNA</w:t>
        </w:r>
      </w:hyperlink>
      <w:r>
        <w:t xml:space="preserve">).</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154"/>
    <w:bookmarkEnd w:id="155"/>
    <w:bookmarkEnd w:id="156"/>
    <w:bookmarkStart w:id="158" w:name="bitácora-de-decisiones-de-arquitectura-1"/>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157" w:name="consideraciones-para-operar-la-bitácora"/>
    <w:p>
      <w:pPr>
        <w:pStyle w:val="Ttulo2"/>
      </w:pPr>
      <w:r>
        <w:t xml:space="preserve">Consideraciones para Operar la Bitácora</w:t>
      </w:r>
    </w:p>
    <w:bookmarkEnd w:id="157"/>
    <w:bookmarkEnd w:id="158"/>
    <w:bookmarkStart w:id="163" w:name="referencias"/>
    <w:p>
      <w:pPr>
        <w:pStyle w:val="Ttulo1"/>
      </w:pPr>
      <w:r>
        <w:t xml:space="preserve">Referencias</w:t>
      </w:r>
    </w:p>
    <w:bookmarkStart w:id="159" w:name="refs"/>
    <w:p>
      <w:pPr>
        <w:pStyle w:val="Bibliography"/>
      </w:pPr>
      <w:r>
        <w:t xml:space="preserve">E-Service. Situación SOA Actual del FNA. Etapa I. (2022).</w:t>
      </w:r>
    </w:p>
    <w:bookmarkEnd w:id="159"/>
    <w:bookmarkStart w:id="160" w:name="refs"/>
    <w:p>
      <w:pPr>
        <w:pStyle w:val="Bibliography"/>
      </w:pPr>
      <w:r>
        <w:t xml:space="preserve">E-Service. Arquitectura de Referencia del FNA. Etapa II. (2023).</w:t>
      </w:r>
    </w:p>
    <w:bookmarkEnd w:id="160"/>
    <w:bookmarkStart w:id="161" w:name="refs"/>
    <w:p>
      <w:pPr>
        <w:pStyle w:val="Bibliography"/>
      </w:pPr>
      <w:r>
        <w:t xml:space="preserve">E-Service. Hoja de Ruta e Iniciativas. Etapa III. (2023).</w:t>
      </w:r>
    </w:p>
    <w:bookmarkEnd w:id="161"/>
    <w:bookmarkStart w:id="162" w:name="refs"/>
    <w:p>
      <w:pPr>
        <w:pStyle w:val="Bibliography"/>
      </w:pPr>
      <w:r>
        <w:t xml:space="preserve">TOGAF 9.1. Risk Management (2023). En https://pubs.opengroup.org/architecture/togaf9-doc/arch/chap27.html</w:t>
      </w:r>
    </w:p>
    <w:bookmarkEnd w:id="162"/>
    <w:bookmarkEnd w:id="16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Niveles de detalle de la ingeniería: https://editeca.com/lod-nivel-de-desarrollo/</w:t>
      </w:r>
    </w:p>
  </w:footnote>
  <w:footnote w:id="95">
    <w:p>
      <w:pPr>
        <w:pStyle w:val="Textonotapie"/>
      </w:pPr>
      <w:r>
        <w:rPr>
          <w:rStyle w:val="Refdenotaalpie"/>
        </w:rPr>
        <w:footnoteRef/>
      </w:r>
      <w:r>
        <w:t xml:space="preserve"> </w:t>
      </w:r>
      <w:r>
        <w:t xml:space="preserve">Niveles de detalle de la ingeniería: https://editeca.com/lod-nivel-de-desarrollo/</w:t>
      </w:r>
    </w:p>
  </w:footnote>
  <w:footnote w:id="101">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jpg" /><Relationship Type="http://schemas.openxmlformats.org/officeDocument/2006/relationships/image" Id="rId133" Target="media/rId133.gif"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75" Target="media/rId75.png" /><Relationship Type="http://schemas.openxmlformats.org/officeDocument/2006/relationships/image" Id="rId71" Target="media/rId71.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125" Target="media/rId125.png" /><Relationship Type="http://schemas.openxmlformats.org/officeDocument/2006/relationships/image" Id="rId34" Target="media/rId34.jpg" /><Relationship Type="http://schemas.openxmlformats.org/officeDocument/2006/relationships/image" Id="rId115" Target="media/rId115.png" /><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fe5d87123bc728cb1ebd61015be9aadb18f77a5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1"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4" Target="https://https://stefaninilatam.sharepoint.com/SitePages/Home.aspx/fna-dd-f2-pry1/manuscript.pdf" TargetMode="External" /><Relationship Type="http://schemas.openxmlformats.org/officeDocument/2006/relationships/hyperlink" Id="rId20" Target="https://hwong23.github.io/fna-dd-f2-e1/v/fe5d87123bc728cb1ebd61015be9aadb18f77a5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2"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2023-06-21T18:53:50Z</dcterms:created>
  <dcterms:modified xsi:type="dcterms:W3CDTF">2023-06-21T18:53:50Z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