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PRY01. Gobierno SOA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31 Jul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1.ac807c5</w:t>
      </w:r>
    </w:p>
    <w:p>
      <w:pPr>
        <w:pStyle w:val="FirstParagraph"/>
      </w:pPr>
    </w:p>
    <w:bookmarkStart w:id="28" w:name="Xdcdd8befcc7df0c2e9f3870858594db72053b50"/>
    <w:p>
      <w:pPr>
        <w:pStyle w:val="Ttulo1"/>
      </w:pPr>
      <w:r>
        <w:t xml:space="preserve">Producto 4: PR04. Definición de roles y responsabilidades e instalación del comité</w:t>
      </w:r>
    </w:p>
    <w:p>
      <w:pPr>
        <w:pStyle w:val="FirstParagraph"/>
      </w:pPr>
      <w:r>
        <w:t xml:space="preserve">Desarrollo de procedimientos, funciones, entregables, selección de roles y herramientas a desplegar para la puesta en marcha de un Comité de Arquitectura del FNA adscrito a la Vicepresidencia de Tecnología FNA y en cumplimiento con el Gobierno SOA, versión 0.5, objeto de este proyecto.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El Comité de Arquitectura es la entidad de supervisión ubicada entre la oficina de arquitectura (PR02, objeto de este proyecto) y los líderes de grupo de productos del FNA y áreas interesadas. Es una figura necesaria dado los resultados de los diagnósticos SOA, en particular el de riesgos técnicos, realizados en la Fase I de la consultoría E-Service que señalan como causantes a la complejidad y (baja) agilidad que enfrenta el FNA. El Comité de Arquitectura funge como complemento, apoyo y arbitraje (directriz) de las decisiones concernientes a los trabajos de arquitectura del FNA dirigidos a la solución de estos problemas.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Proceso de soporte y alineación de arquitecturas: Oficina y Negocio FN</w:t>
      </w:r>
    </w:p>
    <w:p>
      <w:pPr>
        <w:numPr>
          <w:ilvl w:val="0"/>
          <w:numId w:val="1001"/>
        </w:numPr>
        <w:pStyle w:val="Compact"/>
      </w:pPr>
      <w:r>
        <w:t xml:space="preserve">Modelo operativo del Comité de Gobierno de Arquitectura del FNA: actores, información y procedimientos</w:t>
      </w:r>
    </w:p>
    <w:p>
      <w:pPr>
        <w:numPr>
          <w:ilvl w:val="0"/>
          <w:numId w:val="1001"/>
        </w:numPr>
        <w:pStyle w:val="Compact"/>
      </w:pPr>
      <w:r>
        <w:t xml:space="preserve">Consideraciones para la puesta en marcha del Comité</w:t>
      </w:r>
    </w:p>
    <w:p>
      <w:pPr>
        <w:numPr>
          <w:ilvl w:val="0"/>
          <w:numId w:val="1001"/>
        </w:numPr>
        <w:pStyle w:val="Compact"/>
      </w:pPr>
      <w:r>
        <w:t xml:space="preserve">Matriz de responsabilidades y procedimientos del Comité de Arquitectura</w:t>
      </w:r>
    </w:p>
    <w:p>
      <w:pPr>
        <w:numPr>
          <w:ilvl w:val="0"/>
          <w:numId w:val="1001"/>
        </w:numPr>
        <w:pStyle w:val="Compact"/>
      </w:pPr>
      <w:r>
        <w:t xml:space="preserve">Método de evaluación de arquitecturas para el FNA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Entendimiento funcional y operativa del comité de arquitectura del FNA</w:t>
      </w:r>
    </w:p>
    <w:p>
      <w:pPr>
        <w:numPr>
          <w:ilvl w:val="0"/>
          <w:numId w:val="1002"/>
        </w:numPr>
        <w:pStyle w:val="Compact"/>
      </w:pPr>
      <w:r>
        <w:t xml:space="preserve">Matriz de roles y procedimientos del del comité de arquitectura del FNA</w:t>
      </w:r>
    </w:p>
    <w:p>
      <w:pPr>
        <w:pStyle w:val="FirstParagraph"/>
      </w:pPr>
    </w:p>
    <w:bookmarkEnd w:id="22"/>
    <w:bookmarkStart w:id="27" w:name="modelo-de-implementación-del-pry01"/>
    <w:p>
      <w:pPr>
        <w:pStyle w:val="Ttulo2"/>
      </w:pPr>
      <w:r>
        <w:t xml:space="preserve">Modelo de Implementación del PRY01</w:t>
      </w:r>
    </w:p>
    <w:bookmarkStart w:id="0" w:name="fig:2c01a2d9-57d6-4a64-9934-77188efc317a"/>
    <w:p>
      <w:pPr>
        <w:pStyle w:val="CaptionedFigure"/>
      </w:pPr>
      <w:bookmarkStart w:id="26" w:name="fig:"/>
      <w:r>
        <w:drawing>
          <wp:inline>
            <wp:extent cx="5600700" cy="4499951"/>
            <wp:effectExtent b="0" l="0" r="0" t="0"/>
            <wp:docPr descr="Imagen 1: Plan de Implementación del Proyecto Gobierno SOA del FNA (PRY01), 2023. Junio 2023 a julio 2023" title="" id="24" name="Picture"/>
            <a:graphic>
              <a:graphicData uri="http://schemas.openxmlformats.org/drawingml/2006/picture">
                <pic:pic>
                  <pic:nvPicPr>
                    <pic:cNvPr descr="images/pry1gobierno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99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Imagen 1: Plan de Implementación del Proyecto Gobierno SOA del FNA (PRY01), 2023. Junio 2023 a julio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jp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2023-07-31T10:35:13Z</dcterms:created>
  <dcterms:modified xsi:type="dcterms:W3CDTF">2023-07-31T10:35:13Z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