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1.a5d029a</w:t>
      </w:r>
    </w:p>
    <w:p>
      <w:pPr>
        <w:pStyle w:val="FirstParagraph"/>
      </w:pPr>
    </w:p>
    <w:bookmarkStart w:id="28" w:name="Xdcdd8befcc7df0c2e9f3870858594db72053b50"/>
    <w:p>
      <w:pPr>
        <w:pStyle w:val="Ttulo1"/>
      </w:pPr>
      <w:r>
        <w:t xml:space="preserve">Producto 4: PR04. Definición de roles y responsabilidades e instalación del comité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Arquitectura es la entidad de supervisión ubicada entre la oficina de arquitectura (PR02, objeto de este proyecto) y los líderes de grupo de productos del FNA y áreas interesadas. Es una figura necesaria dado los resultados de los diagnósticos SOA, en particular el de riesgos técnicos, realizados en la Fase I de la consultoría E-Service que señalan como causantes a la complejidad y (baja) agilidad que enfrenta el FNA. El Comité de Arquitectura funge como complemento, apoyo y arbitraje (directriz) de los decisiones conciernentes a los trabajo de arquitectura del FNA dirigidos a la solución de estos problemas.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b1a2746-7ebc-48a6-9aad-bb5f01405b19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2023-07-21T02:59:54Z</dcterms:created>
  <dcterms:modified xsi:type="dcterms:W3CDTF">2023-07-21T02:59:54Z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