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1.135463b</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operativos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con el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decisiones. No es un Comité de decisiones. El Comité de arquitectura, para ser exitoso, deben apegarse y apoyar a los procesos de gobierno de las arquitecturas del FNA, y ejecutar, por tanto, sus propios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propios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En el siguiente diagrama resumimos la actuación y colaboración del modelo operativo del Comité de Arquitectura.</w:t>
      </w:r>
    </w:p>
    <w:bookmarkStart w:id="0" w:name="fig:ab35152e-1db2-40c1-8b41-178b54645a7a"/>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bookmarkStart w:id="0" w:name="fig:886a253e-f508-410a-a53e-c48e83c27094"/>
    <w:p>
      <w:pPr>
        <w:pStyle w:val="CaptionedFigure"/>
      </w:pPr>
      <w:bookmarkStart w:id="32" w:name="fig:"/>
      <w:r>
        <w:drawing>
          <wp:inline>
            <wp:extent cx="5600700" cy="4432986"/>
            <wp:effectExtent b="0" l="0" r="0" t="0"/>
            <wp:docPr descr="Figure 2: Roles y Grupos de trabajo del gobierno SOA del FNA."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bookmarkEnd w:id="32"/>
    </w:p>
    <w:p>
      <w:pPr>
        <w:pStyle w:val="ImageCaption"/>
      </w:pPr>
      <w:r>
        <w:t xml:space="preserve">Figure 2: Roles y Grupos de trabajo del gobierno SOA del FNA.</w:t>
      </w:r>
    </w:p>
    <w:bookmarkEnd w:id="0"/>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2023-07-31T10:59:47Z</dcterms:created>
  <dcterms:modified xsi:type="dcterms:W3CDTF">2023-07-31T10:59:47Z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