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97"/>
        <w:gridCol w:w="69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Métodos de evaluación de arquitecturas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Evaluación de arquitectura, ATAM, Método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1.f33d081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4" w:name="X9168c2a791a57634f26141cca484e8ce904feea"/>
    <w:p>
      <w:pPr>
        <w:pStyle w:val="Ttulo1"/>
      </w:pPr>
      <w:r>
        <w:t xml:space="preserve">Métodos de Evaluación de Arquitecturas para el FNA</w:t>
      </w:r>
    </w:p>
    <w:p>
      <w:pPr>
        <w:pStyle w:val="FirstParagraph"/>
      </w:pPr>
      <w:r>
        <w:t xml:space="preserve">En este aparte desarrollaremos el método de evaluación de arquitecturas acondicionado para la Oficina y el Comité de Arquitectura (CAF) del Fondo, tal que cumpla con las características determinadas en (</w:t>
      </w:r>
      <w:hyperlink r:id="rId22">
        <w:r>
          <w:rPr>
            <w:rStyle w:val="Hipervnculo"/>
          </w:rPr>
          <w:t xml:space="preserve">Características del Método de Evaluación de Arquitecturas</w:t>
        </w:r>
      </w:hyperlink>
      <w:r>
        <w:t xml:space="preserve">) para esta herramienta.</w:t>
      </w:r>
    </w:p>
    <w:p>
      <w:pPr>
        <w:pStyle w:val="Textoindependiente"/>
      </w:pPr>
      <w:r>
        <w:t xml:space="preserve">Las características que el método de evaluación debe cumplir son las indicadas en la siguiente table.</w:t>
      </w:r>
    </w:p>
    <w:bookmarkStart w:id="0" w:name="tbl:atam-id"/>
    <w:bookmarkStart w:id="23" w:name="tbl:atam-id"/>
    <w:p>
      <w:pPr>
        <w:pStyle w:val="TableCaption"/>
      </w:pPr>
      <w:r>
        <w:t xml:space="preserve">Table 1: Características que cumple el método de evaluación de arquitectura (MEVFNA) seleccionado para el FNA.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Características que cumple el método de evaluación de arquitectura (MEVFNA) seleccionado para el FNA. "/>
      </w:tblPr>
      <w:tblGrid>
        <w:gridCol w:w="2105"/>
        <w:gridCol w:w="581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 Organización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 Riesgos técnicos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 Puntos de Sensibilidad al Cambio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 Compensaciones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 Costo / Beneficio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 Elementos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 Escenarios de calidad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 Sistema de puntuación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 Árbol de utilidad (diversificación)</w:t>
            </w:r>
          </w:p>
        </w:tc>
      </w:tr>
    </w:tbl>
    <w:bookmarkEnd w:id="23"/>
    <w:bookmarkEnd w:id="0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../../fna-dd-f2-e1/content/03n.3.evaluacion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../fna-dd-f2-e1/content/03n.3.evaluacion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2023-07-04T15:24:21Z</dcterms:created>
  <dcterms:modified xsi:type="dcterms:W3CDTF">2023-07-04T15:24:21Z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