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1.a009c6d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dff878450ce3cb4c42082fbf01d4be8812c7788"/>
    <w:p>
      <w:pPr>
        <w:pStyle w:val="Ttulo1"/>
      </w:pPr>
      <w:r>
        <w:t xml:space="preserve">Evaluación de Arquitcturas FNA Basada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2cec4af1-da72-4129-993c-a94beb732a8f"/>
    <w:p>
      <w:pPr>
        <w:pStyle w:val="CaptionedFigure"/>
      </w:pPr>
      <w:bookmarkStart w:id="29" w:name="fig:"/>
      <w:r>
        <w:drawing>
          <wp:inline>
            <wp:extent cx="5600700" cy="3678190"/>
            <wp:effectExtent b="0" l="0" r="0" t="0"/>
            <wp:docPr descr="Figure 1: Modelo de evaluación de las arquite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3e8e2e9d-75e2-4b05-9777-afb433e1fca6"/>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e10b1d07-b8c4-4a12-b2d3-8674db5b4718"/>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0e91a9ef-4b81-4204-90da-ea4df742f5e3"/>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22d03968-c6b6-42cf-820e-dc1fef62e7fe"/>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056cf6f4-dc9d-4426-a9d3-ec3ae90d705b"/>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2023-07-24T13:59:07Z</dcterms:created>
  <dcterms:modified xsi:type="dcterms:W3CDTF">2023-07-24T13:59:07Z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