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1.ac807c5</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aproximaciones y definiciones de riesgo técnico generalmente aceptadas, como la enunciada por la ISO 31000:2009, o la del Enterprise Risk Management que citamos a continuación: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consecución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procyetos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definiciones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consecución de objetivos de la Oficina de Arquitectura del FNA</w:t>
      </w:r>
      <w:r>
        <w:t xml:space="preserve">.</w:t>
      </w:r>
    </w:p>
    <w:p>
      <w:pPr>
        <w:pStyle w:val="SourceCode"/>
      </w:pPr>
      <w:r>
        <w:rPr>
          <w:rStyle w:val="VerbatimChar"/>
        </w:rPr>
        <w:t xml:space="preserve">Por tanto, en este proyecto definimos, y trataremos sobre, el riesgo técnico como todo aquello que afecta a los objetivos de la Oficina de Arquitectura, a la tecnología, al software y a los servicios SOA del FNA, que se identifiquen dentro del ejercicio del flujo de trabajo de dicha oficina y en los proyectos de arquitectura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en el tratamiento a estos aspectos de riesgos de las arquitecturas del FNA la utilidad, calidad y efectividad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2023-07-31T10:35:15Z</dcterms:created>
  <dcterms:modified xsi:type="dcterms:W3CDTF">2023-07-31T10:35:15Z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