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beeac1d9492f835d29206469e9b272a8520816f"/>
    <w:p>
      <w:pPr>
        <w:pStyle w:val="Ttulo1"/>
      </w:pPr>
      <w:r>
        <w:t xml:space="preserve">Antecedentes de Riesgo Técnico de Arquitectura FNA</w:t>
      </w:r>
    </w:p>
    <w:p>
      <w:pPr>
        <w:pStyle w:val="FirstParagraph"/>
      </w:pPr>
      <w:r>
        <w:t xml:space="preserve">Para elaborar los antecedentes de los riesgos técnicos de arquitectura del FNA, sujetos del gobierno de este proyecto, tomaremos como base los análisis previamente realizados en el FNA durante la fase anterior de esta consultoría.</w:t>
      </w:r>
    </w:p>
    <w:bookmarkStart w:id="21" w:name="X1cb585b1af625715156098b43d8190e5f99cb6d"/>
    <w:p>
      <w:pPr>
        <w:pStyle w:val="Ttulo2"/>
      </w:pPr>
      <w:r>
        <w:t xml:space="preserve">Identificación de Riesgos Técnicos del FNA</w:t>
      </w:r>
    </w:p>
    <w:p>
      <w:pPr>
        <w:pStyle w:val="FirstParagraph"/>
      </w:pPr>
      <w:r>
        <w:t xml:space="preserve">Junto a esta complicación, que de por sí hace obligatoria la introdución de la figura del gobierno SOA en el Fondo, y que organizaciones como el OpenGroup señalan que se dan por la falta de Arquitectura SOA y Arquitectura Empresarial, y por consiguiente, por un débil gobierno SOA,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r>
        <w:t xml:space="preserve">Los análisis siguientes dan cuenta de los riesgos técnicos hallados en Fase I.</w:t>
      </w:r>
    </w:p>
    <w:p>
      <w:pPr>
        <w:numPr>
          <w:ilvl w:val="0"/>
          <w:numId w:val="1001"/>
        </w:numPr>
        <w:pStyle w:val="Compact"/>
      </w:pPr>
      <w:r>
        <w:t xml:space="preserve">Análisis de Madurez SOA del FNA (OSIMM, Open Group; E-Service, Fase I, 2022)</w:t>
      </w:r>
    </w:p>
    <w:p>
      <w:pPr>
        <w:numPr>
          <w:ilvl w:val="0"/>
          <w:numId w:val="1001"/>
        </w:numPr>
        <w:pStyle w:val="Compact"/>
      </w:pPr>
      <w:r>
        <w:t xml:space="preserve">Análisis de Fortalezas/Debilidades SOA del FNA (SOA Patterns, Enterprise Integration Patterns; E-Service, Fase I, 2022)</w:t>
      </w:r>
    </w:p>
    <w:p>
      <w:pPr>
        <w:numPr>
          <w:ilvl w:val="0"/>
          <w:numId w:val="1001"/>
        </w:numPr>
        <w:pStyle w:val="Compact"/>
      </w:pPr>
      <w:r>
        <w:t xml:space="preserve">Oportunidades Relevantes SOA del FNA (BPTrends; E-Service, Fase I, 2022)</w:t>
      </w:r>
    </w:p>
    <w:p>
      <w:pPr>
        <w:numPr>
          <w:ilvl w:val="0"/>
          <w:numId w:val="1001"/>
        </w:numPr>
        <w:pStyle w:val="Compact"/>
      </w:pPr>
      <w:r>
        <w:t xml:space="preserve">Conclusiones Relevantes del Diagnóstico SOA del FNA (E-Service, Fase I, 2022)</w:t>
      </w:r>
    </w:p>
    <w:p>
      <w:pPr>
        <w:pStyle w:val="FirstParagraph"/>
      </w:pPr>
    </w:p>
    <w:p>
      <w:pPr>
        <w:pStyle w:val="Textoindependiente"/>
      </w:pPr>
      <w:r>
        <w:t xml:space="preserve">De los análisis nombrados extraemos siete áreas de riesgo técnico de arquitectura a considerar como antecedentes del riesgo en este proyecto. El gobierno SOA del FNA debe contar con las capacidades, recursos y roles, funciones y procedimientos para medir y gestionar los riesgos que de estas provengan y que lo están afectando.</w:t>
      </w:r>
    </w:p>
    <w:p>
      <w:pPr>
        <w:numPr>
          <w:ilvl w:val="0"/>
          <w:numId w:val="1002"/>
        </w:numPr>
        <w:pStyle w:val="Compact"/>
      </w:pPr>
      <w:r>
        <w:t xml:space="preserve">R1. Riesgo de agilidad limitada (ver imagen 1)</w:t>
      </w:r>
    </w:p>
    <w:p>
      <w:pPr>
        <w:numPr>
          <w:ilvl w:val="0"/>
          <w:numId w:val="1002"/>
        </w:numPr>
        <w:pStyle w:val="Compact"/>
      </w:pPr>
      <w:r>
        <w:t xml:space="preserve">R2. Riesgo de baja orquestación SOA (ver imagen 2a y 2b)</w:t>
      </w:r>
    </w:p>
    <w:p>
      <w:pPr>
        <w:numPr>
          <w:ilvl w:val="0"/>
          <w:numId w:val="1002"/>
        </w:numPr>
        <w:pStyle w:val="Compact"/>
      </w:pPr>
      <w:r>
        <w:t xml:space="preserve">R3. Riesgo de crecimiento de dependencias entre servicios SOA</w:t>
      </w:r>
    </w:p>
    <w:p>
      <w:pPr>
        <w:numPr>
          <w:ilvl w:val="0"/>
          <w:numId w:val="1002"/>
        </w:numPr>
        <w:pStyle w:val="Compact"/>
      </w:pPr>
      <w:r>
        <w:t xml:space="preserve">R4. Riesgo de crecimiento de adaptadores particulares –opuesto al estándar</w:t>
      </w:r>
    </w:p>
    <w:p>
      <w:pPr>
        <w:numPr>
          <w:ilvl w:val="0"/>
          <w:numId w:val="1002"/>
        </w:numPr>
        <w:pStyle w:val="Compact"/>
      </w:pPr>
      <w:r>
        <w:t xml:space="preserve">R5. Riesgo de baja reutilización de servicios SOA</w:t>
      </w:r>
    </w:p>
    <w:p>
      <w:pPr>
        <w:numPr>
          <w:ilvl w:val="0"/>
          <w:numId w:val="1002"/>
        </w:numPr>
        <w:pStyle w:val="Compact"/>
      </w:pPr>
      <w:r>
        <w:t xml:space="preserve">R6. Riesgo de permanencia de silos (islas) de servicios SOA y aplicaciones</w:t>
      </w:r>
    </w:p>
    <w:p>
      <w:pPr>
        <w:numPr>
          <w:ilvl w:val="0"/>
          <w:numId w:val="1002"/>
        </w:numPr>
        <w:pStyle w:val="Compact"/>
      </w:pPr>
      <w:r>
        <w:t xml:space="preserve">R7. Riesgo de falta de trazabilidad para la evolución e implementación de los servicios SOA</w:t>
      </w:r>
    </w:p>
    <w:p>
      <w:pPr>
        <w:pStyle w:val="FirstParagraph"/>
      </w:pPr>
    </w:p>
    <w:p>
      <w:pPr>
        <w:pStyle w:val="Textoindependiente"/>
      </w:pPr>
      <w:r>
        <w:t xml:space="preserve">Mostraremos a continuación la relación causal de estas áreas con los problemáticas encontradas en dichos diagneosticos.</w:t>
      </w:r>
    </w:p>
    <w:tbl>
      <w:tblPr>
        <w:tblStyle w:val="Table"/>
        <w:tblW w:type="pct" w:w="5000"/>
        <w:tblLook w:firstRow="1" w:lastRow="0" w:firstColumn="0" w:lastColumn="0" w:noHBand="0" w:noVBand="0" w:val="0020"/>
      </w:tblPr>
      <w:tblGrid>
        <w:gridCol w:w="7470"/>
        <w:gridCol w:w="450"/>
      </w:tblGrid>
      <w:tr>
        <w:trPr>
          <w:tblHeader w:val="true"/>
        </w:trPr>
        <w:tc>
          <w:tcPr/>
          <w:p>
            <w:pPr>
              <w:pStyle w:val="Compact"/>
              <w:jc w:val="left"/>
            </w:pPr>
            <w:r>
              <w:t xml:space="preserve">Diagnóstico FNA</w:t>
            </w:r>
          </w:p>
        </w:tc>
        <w:tc>
          <w:tcPr/>
          <w:p>
            <w:pPr>
              <w:pStyle w:val="Compact"/>
              <w:jc w:val="left"/>
            </w:pPr>
            <w:r>
              <w:t xml:space="preserve">Área de Riesgo/Riesgo Arquitectura</w:t>
            </w:r>
          </w:p>
        </w:tc>
      </w:tr>
      <w:tr>
        <w:tc>
          <w:tcPr/>
          <w:p>
            <w:pPr>
              <w:pStyle w:val="Compact"/>
              <w:jc w:val="left"/>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entendida como mejora, explotación y distribución de los datos proclive a la proliferación de silos de datos.</w:t>
            </w:r>
          </w:p>
        </w:tc>
        <w:tc>
          <w:tcPr/>
          <w:p>
            <w:pPr>
              <w:pStyle w:val="Compact"/>
              <w:jc w:val="left"/>
            </w:pPr>
            <w:r>
              <w:t xml:space="preserve">R6, R7</w:t>
            </w:r>
          </w:p>
        </w:tc>
      </w:tr>
      <w:tr>
        <w:tc>
          <w:tcPr/>
          <w:p>
            <w:pPr>
              <w:pStyle w:val="Compact"/>
              <w:jc w:val="left"/>
            </w:pPr>
            <w:r>
              <w:t xml:space="preserve">El análisis del repositorio SOA del FNA evidencia que existen modelos de datos independientes para las diferentes aplicaciones. Por lo tanto,</w:t>
            </w:r>
            <w:r>
              <w:t xml:space="preserve"> </w:t>
            </w:r>
            <w:r>
              <w:rPr>
                <w:iCs/>
                <w:i/>
              </w:rPr>
              <w:t xml:space="preserve">no existe un modelo de datos común (modelo de datos canónico) en la organización</w:t>
            </w:r>
            <w:r>
              <w:t xml:space="preserve">. Así mismo, existen inconvenientes en la gestión del ciclo de vida del dato debido a la relación de dependencia con el proveedor Cobiscorp, el ERP del FNA, que dificultan incluir reglas de negocio o nuevas entidades de datos.</w:t>
            </w:r>
          </w:p>
        </w:tc>
        <w:tc>
          <w:tcPr/>
          <w:p>
            <w:pPr>
              <w:pStyle w:val="Compact"/>
              <w:jc w:val="left"/>
            </w:pPr>
            <w:r>
              <w:t xml:space="preserve">R1, R6, R7</w:t>
            </w:r>
          </w:p>
        </w:tc>
      </w:tr>
      <w:tr>
        <w:tc>
          <w:tcPr/>
          <w:p>
            <w:pPr>
              <w:pStyle w:val="Compact"/>
              <w:jc w:val="left"/>
            </w:pPr>
            <w:r>
              <w:t xml:space="preserve">Desde la perspectiva de madurez SOA, la primera iteración del proceso de evaluación de madurez SOA del FNA determina que</w:t>
            </w:r>
            <w:r>
              <w:t xml:space="preserve"> </w:t>
            </w:r>
            <w:r>
              <w:rPr>
                <w:iCs/>
                <w:i/>
              </w:rPr>
              <w:t xml:space="preserve">FNA es una empresa reactiva</w:t>
            </w:r>
            <w:r>
              <w:t xml:space="preserve">, resultado además que es consistente co las otras dimensiones de OSIMM diagnosticadas (negocio, aplicaciones, gobierno, etc).</w:t>
            </w:r>
          </w:p>
        </w:tc>
        <w:tc>
          <w:tcPr/>
          <w:p>
            <w:pPr>
              <w:pStyle w:val="Compact"/>
              <w:jc w:val="left"/>
            </w:pPr>
            <w:r>
              <w:t xml:space="preserve">R1, R2</w:t>
            </w:r>
          </w:p>
        </w:tc>
      </w:tr>
      <w:tr>
        <w:tc>
          <w:tcPr/>
          <w:p>
            <w:pPr>
              <w:pStyle w:val="Compact"/>
              <w:jc w:val="left"/>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p>
        </w:tc>
        <w:tc>
          <w:tcPr/>
          <w:p>
            <w:pPr>
              <w:pStyle w:val="Compact"/>
              <w:jc w:val="left"/>
            </w:pPr>
            <w:r>
              <w:t xml:space="preserve">R1, R3, R4, R5</w:t>
            </w:r>
          </w:p>
        </w:tc>
      </w:tr>
      <w:tr>
        <w:tc>
          <w:tcPr/>
          <w:p>
            <w:pPr>
              <w:pStyle w:val="Compact"/>
              <w:jc w:val="left"/>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tc>
        <w:tc>
          <w:tcPr/>
          <w:p>
            <w:pPr>
              <w:pStyle w:val="Compact"/>
              <w:jc w:val="left"/>
            </w:pPr>
            <w:r>
              <w:t xml:space="preserve">R1, R7</w:t>
            </w:r>
          </w:p>
        </w:tc>
      </w:tr>
      <w:tr>
        <w:tc>
          <w:tcPr/>
          <w:p>
            <w:pPr>
              <w:pStyle w:val="Compact"/>
              <w:jc w:val="left"/>
            </w:pPr>
            <w:r>
              <w:t xml:space="preserve">El gobierno SOA debe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tc>
        <w:tc>
          <w:tcPr/>
          <w:p>
            <w:pPr>
              <w:pStyle w:val="Compact"/>
              <w:jc w:val="left"/>
            </w:pPr>
            <w:r>
              <w:t xml:space="preserve">R1, R3, R4</w:t>
            </w:r>
          </w:p>
        </w:tc>
      </w:tr>
    </w:tbl>
    <w:bookmarkEnd w:id="21"/>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2023-07-04T12:26:13Z</dcterms:created>
  <dcterms:modified xsi:type="dcterms:W3CDTF">2023-07-04T12:26:13Z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