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0.png" ContentType="image/png"/>
  <Override PartName="/word/media/rId27.png" ContentType="image/png"/>
  <Override PartName="/word/media/rId21.png" ContentType="image/png"/>
  <Override PartName="/word/media/rId24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3" w:name="X77f0d9f567a6c4992144487397d9fe668cdda20"/>
    <w:p>
      <w:pPr>
        <w:pStyle w:val="Ttulo2"/>
      </w:pPr>
      <w:r>
        <w:t xml:space="preserve">Hallazgos en le Identificación de Riesgos Técnicos del FNA</w:t>
      </w:r>
    </w:p>
    <w:p>
      <w:pPr>
        <w:pStyle w:val="FirstParagraph"/>
      </w:pPr>
      <w:r>
        <w:t xml:space="preserve">En esta parte ejemplificaremos con diagramas y modelos aquellas áreas sensibles de tratamiento de riesgo que nombramos en los temas anteriores y que tienen como base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). Estas áreas de riesgo serán incorporados a las vigilancias del gobierno SOA propuesto, objeto de este proyecto. A la vez, los riesgos derivados de estas deben ser agregados a la matriz de gestión actual del Fondo, y gestionados por los métodos propios con los que ya cuenta el FNA.</w:t>
      </w:r>
    </w:p>
    <w:p>
      <w:pPr>
        <w:pStyle w:val="CaptionedFigure"/>
      </w:pPr>
      <w:r>
        <w:drawing>
          <wp:inline>
            <wp:extent cx="5600700" cy="2605986"/>
            <wp:effectExtent b="0" l="0" r="0" t="0"/>
            <wp:docPr descr="Riesgo no. 1 y 2. Agilidad limitada por la proliferación de la copmlejidad en los servicios SOA del Fondo.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1 y 2. Agilidad limitada por la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3464205"/>
            <wp:effectExtent b="0" l="0" r="0" t="0"/>
            <wp:docPr descr="Riesgo no. 2 (A). En el modelo “ae_fna_as_is.archimate” de situación actual del FNA no aparecen relaciones del bus empresarial (ESB-IBM, en la imagen) con los procesos de negocio. La principal utilización del bus está destinada a la integración entre aplicaciones." title="" id="25" name="Picture"/>
            <a:graphic>
              <a:graphicData uri="http://schemas.openxmlformats.org/drawingml/2006/picture">
                <pic:pic>
                  <pic:nvPicPr>
                    <pic:cNvPr descr="images/esb-procesos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(A).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del bus empresarial (ESB-IBM, en la imagen) con los procesos de negocio. La principal utilización del bus está destinada a la integración entre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2872523"/>
            <wp:effectExtent b="0" l="0" r="0" t="0"/>
            <wp:docPr descr="Riesgo no. 2 (B). En el modelo “ae_fna_as_is.archimate” no es posible encontrar relaciones del bus con los procesos." title="" id="28" name="Picture"/>
            <a:graphic>
              <a:graphicData uri="http://schemas.openxmlformats.org/drawingml/2006/picture">
                <pic:pic>
                  <pic:nvPicPr>
                    <pic:cNvPr descr="images/ESB-IBM-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(B).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1808696"/>
            <wp:effectExtent b="0" l="0" r="0" t="0"/>
            <wp:docPr descr="Riesgo no. 4 y 5. Caso de CRM del FNA. Le afecta el riesgo de estándarización en la interoperabilidad. La desnormalización de la integración aumenta la cantidad de adaptadores particulares." title="" id="31" name="Picture"/>
            <a:graphic>
              <a:graphicData uri="http://schemas.openxmlformats.org/drawingml/2006/picture">
                <pic:pic>
                  <pic:nvPicPr>
                    <pic:cNvPr descr="images/CRM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4 y 5. Caso de CRM del FNA. Le afecta el riesgo de estándarización en la interoperabilidad. La desnormalización de la integración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3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2023-07-21T10:12:38Z</dcterms:created>
  <dcterms:modified xsi:type="dcterms:W3CDTF">2023-07-21T10:12:38Z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