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05a3.md</w:t>
      </w:r>
      <w:r>
        <w:t xml:space="preserve"> </w:t>
      </w:r>
      <w:r>
        <w:t xml:space="preserve">En esta parte ejemplificaremos con diagramas y modelos aquellas áreas sensibles de tratamiento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debenrán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el proliferación de la copmlejidad en los servicios SOA del Fondo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el proliferación de la copmlejidad en los servicios SOA del Fondo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. En el modelo “ae_fna_as_is.archimate” de situación actual del FNA no aparecen relaciones de este con los procesos de negocio. La principal utilización del bus (ESB-IBM, en la imagen) está destinada a la integración d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,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2023-07-01T18:09:45Z</dcterms:created>
  <dcterms:modified xsi:type="dcterms:W3CDTF">2023-07-01T18:09:45Z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