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9ee9ec8</w:t>
            </w:r>
            <w:r>
              <w:t xml:space="preserve"> </w:t>
            </w:r>
            <w:r>
              <w:t xml:space="preserve">del 01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6" w:name="Xeaf149af357d80e85e6ba353afac6f5712d52b0"/>
    <w:p>
      <w:pPr>
        <w:pStyle w:val="Ttulo1"/>
      </w:pPr>
      <w:r>
        <w:t xml:space="preserve">Tratamiento a los Riesgos Tecnológicos del FNA</w:t>
      </w:r>
    </w:p>
    <w:p>
      <w:pPr>
        <w:pStyle w:val="FirstParagraph"/>
      </w:pPr>
    </w:p>
    <w:bookmarkStart w:id="25" w:name="Xb16148173b312c3417e9191702cf1588a500394"/>
    <w:p>
      <w:pPr>
        <w:pStyle w:val="Ttulo3"/>
      </w:pPr>
      <w:r>
        <w:t xml:space="preserve">Gobierno SOA y Riesgos Tecnológicos del FNA</w:t>
      </w:r>
    </w:p>
    <w:p>
      <w:pPr>
        <w:pStyle w:val="FirstParagraph"/>
      </w:pPr>
      <w:r>
        <w:t xml:space="preserve">El gobierno SOA del FNA debe buscar la capacidad para medir y gestionar (agregar a la lista de riesgos de la empresa) los riesgos que lo están afectando.</w:t>
      </w:r>
    </w:p>
    <w:p>
      <w:pPr>
        <w:numPr>
          <w:ilvl w:val="0"/>
          <w:numId w:val="1001"/>
        </w:numPr>
        <w:pStyle w:val="Compact"/>
      </w:pPr>
      <w:r>
        <w:t xml:space="preserve">R1. Riesgo de agilidad limitada (ver imagen 1)</w:t>
      </w:r>
    </w:p>
    <w:p>
      <w:pPr>
        <w:numPr>
          <w:ilvl w:val="0"/>
          <w:numId w:val="1001"/>
        </w:numPr>
        <w:pStyle w:val="Compact"/>
      </w:pPr>
      <w:r>
        <w:t xml:space="preserve">R2. Riesgo de baja orquestación SOA (ver imagen 2a y 2b)</w:t>
      </w:r>
    </w:p>
    <w:p>
      <w:pPr>
        <w:numPr>
          <w:ilvl w:val="0"/>
          <w:numId w:val="1001"/>
        </w:numPr>
        <w:pStyle w:val="Compact"/>
      </w:pPr>
      <w:r>
        <w:t xml:space="preserve">R3. Riesgo de crecimiento de dependencias entre servicios SOA</w:t>
      </w:r>
    </w:p>
    <w:p>
      <w:pPr>
        <w:numPr>
          <w:ilvl w:val="0"/>
          <w:numId w:val="1001"/>
        </w:numPr>
        <w:pStyle w:val="Compact"/>
      </w:pPr>
      <w:r>
        <w:t xml:space="preserve">R4. Riesgo de crecimiento de adaptadores particulares –opuesto al estándar– (ver imagen 3)</w:t>
      </w:r>
    </w:p>
    <w:p>
      <w:pPr>
        <w:numPr>
          <w:ilvl w:val="0"/>
          <w:numId w:val="1001"/>
        </w:numPr>
        <w:pStyle w:val="Compact"/>
      </w:pPr>
      <w:r>
        <w:t xml:space="preserve">R5. Riesgo de baja reutilización de servicios SOA</w:t>
      </w:r>
    </w:p>
    <w:p>
      <w:pPr>
        <w:numPr>
          <w:ilvl w:val="0"/>
          <w:numId w:val="1001"/>
        </w:numPr>
        <w:pStyle w:val="Compact"/>
      </w:pPr>
      <w:r>
        <w:t xml:space="preserve">R6. Riesgo de permanencia de silos (islas) de servicios SOA y aplicaciones</w:t>
      </w:r>
    </w:p>
    <w:p>
      <w:pPr>
        <w:numPr>
          <w:ilvl w:val="0"/>
          <w:numId w:val="1001"/>
        </w:numPr>
        <w:pStyle w:val="Compact"/>
      </w:pPr>
      <w:r>
        <w:t xml:space="preserve">R7. Riesgo de falta de trazabilidad para la evolución e implementación de los servicios SOA</w:t>
      </w:r>
    </w:p>
    <w:p>
      <w:pPr>
        <w:pStyle w:val="FirstParagraph"/>
      </w:pPr>
    </w:p>
    <w:bookmarkStart w:id="0" w:name="fig:c1f8f744-f3f9-4014-b67e-8afca09feb0b"/>
    <w:p>
      <w:pPr>
        <w:pStyle w:val="CaptionedFigure"/>
      </w:pPr>
      <w:bookmarkStart w:id="24" w:name="fig:"/>
      <w:r>
        <w:drawing>
          <wp:inline>
            <wp:extent cx="5600700" cy="3992650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5-riesg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9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2023-07-01T18:09:46Z</dcterms:created>
  <dcterms:modified xsi:type="dcterms:W3CDTF">2023-07-01T18:09:46Z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