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beeac1d9492f835d29206469e9b272a8520816f"/>
    <w:p>
      <w:pPr>
        <w:pStyle w:val="Ttulo1"/>
      </w:pPr>
      <w:r>
        <w:t xml:space="preserve">Antecedentes de Riesgo Técnico de Arquitectura FNA</w:t>
      </w:r>
    </w:p>
    <w:p>
      <w:pPr>
        <w:pStyle w:val="FirstParagraph"/>
      </w:pPr>
      <w:r>
        <w:t xml:space="preserve">Es importante definir lo que es el riesgo técnico en el contexto de este proyecto. Con esto, podemos identificar y realizar propuestas y diseños que los mitiguen.</w:t>
      </w:r>
    </w:p>
    <w:bookmarkStart w:id="21" w:name="Xc5c97f7920903615d2dd37bbe42739d0f6313a3"/>
    <w:p>
      <w:pPr>
        <w:pStyle w:val="Ttulo2"/>
      </w:pPr>
      <w:r>
        <w:t xml:space="preserve">Definición de Riesgo Técnico de Arquitectura del FNA</w:t>
      </w:r>
    </w:p>
    <w:p>
      <w:pPr>
        <w:pStyle w:val="FirstParagraph"/>
      </w:pPr>
      <w:r>
        <w:t xml:space="preserve">Para la definición de riesgo técnico de las arquitecturas del FNA, en el contexto de este proyecto, utilizaremos un ejemplo de un caso existente en el FNA</w:t>
      </w:r>
      <w:r>
        <w:rPr>
          <w:rStyle w:val="Refdenotaalpie"/>
        </w:rPr>
        <w:footnoteReference w:id="20"/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De las problemáticas encontradas en la Fase 1 del presente diagnóstico, nos referimos explícitamente a las que incrementan la complejidad de las soluciones SOA y soluciones de software del FNA, _como el manejo de dependencias de los servicios SOA del Fondo_. Es conocido y demostrado que solo esta condición es parte de la causa de los sobreesfuerzos que se dan en la evolución de dichas soluciones, y de las dificultades que se encuentran en los análisis de impacto de estos cambios.</w:t>
      </w: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Fuente: E-Service, Fase I, 2022.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2023-06-30T13:46:43Z</dcterms:created>
  <dcterms:modified xsi:type="dcterms:W3CDTF">2023-06-30T13:46:43Z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