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Xbeeac1d9492f835d29206469e9b272a8520816f"/>
    <w:p>
      <w:pPr>
        <w:pStyle w:val="Ttulo1"/>
      </w:pPr>
      <w:r>
        <w:t xml:space="preserve">Antecedentes de Riesgo Técnico de Arquitectura FNA</w:t>
      </w:r>
    </w:p>
    <w:p>
      <w:pPr>
        <w:pStyle w:val="FirstParagraph"/>
      </w:pPr>
      <w:r>
        <w:t xml:space="preserve">Es importante definir lo que es el riesgo técnico en el contexto de este proyecto. Con esto, podemos identificar y realizar propuestas y diseños que los mitiguen.</w:t>
      </w:r>
    </w:p>
    <w:bookmarkStart w:id="20" w:name="Xc5c97f7920903615d2dd37bbe42739d0f6313a3"/>
    <w:p>
      <w:pPr>
        <w:pStyle w:val="Ttulo2"/>
      </w:pPr>
      <w:r>
        <w:t xml:space="preserve">Definición de Riesgo Técnico de Arquitectura del FNA</w:t>
      </w:r>
    </w:p>
    <w:p>
      <w:pPr>
        <w:pStyle w:val="FirstParagraph"/>
      </w:pPr>
      <w:r>
        <w:t xml:space="preserve">Para la definición de riesgo técnico de las arquitecturas del FNA, en el contexto de este proyecto, utilizaremos un ejemplo real.</w:t>
      </w:r>
    </w:p>
    <w:p>
      <w:pPr>
        <w:pStyle w:val="SourceCode"/>
      </w:pPr>
      <w:r>
        <w:rPr>
          <w:rStyle w:val="VerbatimChar"/>
        </w:rPr>
        <w:t xml:space="preserve">De las problemáticas encontradas en la Fase 1 del presente diagnóstico, nos referimos explícitamente a las que incrementan la complejidad de las soluciones SOA y soluciones de software del FNA, _como el manejo de dependencias de los servicios SOA del Fondo_. Es conocido y demostrado que solo esta condición es parte de la causa de los sobreesfuerzos que se dan en la evolución de dichas soluciones, y de las dificultades que se encuentran en los análisis de impacto de estos cambios.[^3]</w:t>
      </w:r>
      <w:r>
        <w:br/>
      </w:r>
      <w:r>
        <w:br/>
      </w:r>
      <w:r>
        <w:rPr>
          <w:rStyle w:val="VerbatimChar"/>
        </w:rPr>
        <w:t xml:space="preserve">[^3]: Fuente: E-Service, Fase I, 2022.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2023-06-30T12:31:46Z</dcterms:created>
  <dcterms:modified xsi:type="dcterms:W3CDTF">2023-06-30T12:31:46Z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