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Para elaborar los antecedentes de los riesgos técnicos de arquitectura del FNA tomaremos como base tres análisis previamente realizados en la empresa:</w:t>
      </w:r>
    </w:p>
    <w:p>
      <w:pPr>
        <w:numPr>
          <w:ilvl w:val="0"/>
          <w:numId w:val="1001"/>
        </w:numPr>
        <w:pStyle w:val="Compact"/>
      </w:pPr>
      <w:r>
        <w:t xml:space="preserve">Análisis de Madurez SOA del FNA (OSIMM, Open Group; E-Service, Fase I, 2022)</w:t>
      </w:r>
    </w:p>
    <w:p>
      <w:pPr>
        <w:numPr>
          <w:ilvl w:val="0"/>
          <w:numId w:val="1001"/>
        </w:numPr>
        <w:pStyle w:val="Compact"/>
      </w:pPr>
      <w:r>
        <w:t xml:space="preserve">Análisis de Fortalezas/Debilidades SOA del FNA (SOA Patterns, Enterprise Integration Patterns; E-Service, Fase I, 2022)</w:t>
      </w:r>
    </w:p>
    <w:p>
      <w:pPr>
        <w:pStyle w:val="FirstParagraph"/>
      </w:pPr>
      <w:r>
        <w:t xml:space="preserve">Es importante definir lo que es el riesgo técnico en el contexto de este proyecto para identificar y realizar las estructurar de información y diseños que los mitiguen.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2023-06-30T17:16:48Z</dcterms:created>
  <dcterms:modified xsi:type="dcterms:W3CDTF">2023-06-30T17:16:48Z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