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rId3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7241ad7</w:t>
            </w:r>
            <w:r>
              <w:t xml:space="preserve"> </w:t>
            </w:r>
            <w:r>
              <w:t xml:space="preserve">del 01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Start w:id="39" w:name="Xda7f5ed936af8f368d8a826bd80c4e8c21af36c"/>
    <w:p>
      <w:pPr>
        <w:pStyle w:val="Ttulo1"/>
      </w:pPr>
      <w:r>
        <w:t xml:space="preserve">Modelos de Gobiernos con Gestión de Riesgos Técnicos (versión 0.6)</w:t>
      </w:r>
    </w:p>
    <w:bookmarkStart w:id="0" w:name="fig:ebcf407e-6c8f-4343-9c24-02fe4c7a69d6"/>
    <w:p>
      <w:pPr>
        <w:pStyle w:val="CaptionedFigure"/>
      </w:pPr>
      <w:bookmarkStart w:id="38" w:name="fig:"/>
      <w:r>
        <w:drawing>
          <wp:inline>
            <wp:extent cx="5600700" cy="3992650"/>
            <wp:effectExtent b="0" l="0" r="0" t="0"/>
            <wp:docPr descr="Figure 1: Modelo de gobierno SOA del FNA, versión 0.6. Incorpora las actividades de gestión de riesgo, y las capaciddes del repositorio de arquitectura." title="" id="36" name="Picture"/>
            <a:graphic>
              <a:graphicData uri="http://schemas.openxmlformats.org/drawingml/2006/picture">
                <pic:pic>
                  <pic:nvPicPr>
                    <pic:cNvPr descr="images/modelogob05-riesgos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9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1: Modelo de gobierno SOA del FNA, versión 0.6. Incorpora las actividades de gestión de riesgo, y las capaciddes del repositorio de arquitectura.</w:t>
      </w:r>
    </w:p>
    <w:bookmarkEnd w:id="0"/>
    <w:p>
      <w:pPr>
        <w:pStyle w:val="Textoindependiente"/>
      </w:pPr>
      <w:r>
        <w:rPr>
          <w:iCs/>
          <w:i/>
        </w:rPr>
        <w:t xml:space="preserve">Fuente: Diagnóstico SOA. E-Service (2022).</w:t>
      </w:r>
    </w:p>
    <w:p>
      <w:pPr>
        <w:pStyle w:val="Textoindependiente"/>
      </w:pPr>
    </w:p>
    <w:bookmarkEnd w:id="39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5" Target="media/rId3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2023-07-01T17:49:59Z</dcterms:created>
  <dcterms:modified xsi:type="dcterms:W3CDTF">2023-07-01T17:49:59Z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