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5" w:name="X1cb585b1af625715156098b43d8190e5f99cb6d"/>
    <w:p>
      <w:pPr>
        <w:pStyle w:val="Ttulo1"/>
      </w:pPr>
      <w:r>
        <w:t xml:space="preserve">Identificación de Riesgos Técnicos del FNA</w:t>
      </w:r>
    </w:p>
    <w:p>
      <w:pPr>
        <w:pStyle w:val="FirstParagraph"/>
      </w:pPr>
      <w:r>
        <w:t xml:space="preserve">Junto a esta complicación, que de por sí hace obligatoria la introdución de la figura del gobierno SOA en el Fondo, y que organizaciones como el OpenGroup señalan que se dan por la falta de Arquitectura Empresarial, y por consiguiente, por un débil gobierno, se encuentran otras que fueron levantadas en la Fase 1 del presente diagnóstico: agilidad limitada, complejidad e imprecisión en la trazabilidad, ocultamiento de funcionalidades (ver</w:t>
      </w:r>
      <w:r>
        <w:t xml:space="preserve"> </w:t>
      </w:r>
      <w:hyperlink r:id="rId20">
        <w:r>
          <w:rPr>
            <w:rStyle w:val="Hipervnculo"/>
          </w:rPr>
          <w:t xml:space="preserve">04b.Resumen Fase 1</w:t>
        </w:r>
      </w:hyperlink>
      <w:r>
        <w:t xml:space="preserve">).</w:t>
      </w:r>
    </w:p>
    <w:p>
      <w:pPr>
        <w:pStyle w:val="Textoindependiente"/>
      </w:pP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f6fefc6</w:t>
            </w:r>
            <w:r>
              <w:t xml:space="preserve"> </w:t>
            </w:r>
            <w:r>
              <w:t xml:space="preserve">del 30 Jun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4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3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silos (islas) de servicios SOA y aplicaciones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el proliferación de la copmlejidad en los servicios SOA del Fondo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el proliferación de la copmlejidad en los servicios SOA del Fondo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. En el modelo “ae_fna_as_is.archimate” de situación actual del FNA no aparecen relaciones de este con los procesos de negocio. La principal utilización del bus (ESB-IBM, en la imagen) está destinada a la integración d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,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2023-06-30T19:46:00Z</dcterms:created>
  <dcterms:modified xsi:type="dcterms:W3CDTF">2023-06-30T19:46:00Z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