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05c.modelo riesgo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04"/>
        <w:gridCol w:w="631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 del FNA:</w:t>
            </w:r>
            <w:r>
              <w:t xml:space="preserve"> </w:t>
            </w:r>
            <w:r>
              <w:rPr>
                <w:bCs/>
                <w:b/>
              </w:rPr>
              <w:t xml:space="preserve">Modelamiento del riesgo técnico del FNA (Oficina de Arquitectura FNA)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Riesgo técnico, Modelo, Arquitectura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1.848dfe0</w:t>
            </w:r>
            <w:r>
              <w:t xml:space="preserve"> </w:t>
            </w:r>
            <w:r>
              <w:t xml:space="preserve">del 30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2023-06-30T20:31:44Z</dcterms:created>
  <dcterms:modified xsi:type="dcterms:W3CDTF">2023-06-30T20:31:44Z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