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1.142712e</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p>
      <w:pPr>
        <w:pStyle w:val="Textoindependiente"/>
      </w:pPr>
    </w:p>
    <w:p>
      <w:pPr>
        <w:pStyle w:val="Textoindependiente"/>
      </w:pPr>
      <w:r>
        <w:t xml:space="preserve">En los siguientes contenidos describiremos las técnicas para el uso de los conceptos de ArchiMate que resulten en el modelamiento y la documentación generada de los riesgos, tal que contribuyan a la gestión de los riesgos, y que contribuyan al Gobierno SOA, versión 0.6, del FNA.</w:t>
      </w:r>
    </w:p>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 alguna respuesta a las siguientes preguntas de control respecto a cada eventos de riesgo o amenaza que problematice las funciones de la Oficina de Arquitcuta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8c01b00b-7d0c-4aaf-80fa-c69c0a36c42c"/>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 de control consignadas arriba. En la siguiente ilustración mostramos cómo el modelo responde a estas preguntas.</w:t>
      </w:r>
    </w:p>
    <w:bookmarkStart w:id="0" w:name="fig:aaa6b23e-0004-4d10-a59f-6959186565ea"/>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anteriomente.</w:t>
      </w:r>
    </w:p>
    <w:bookmarkStart w:id="0" w:name="fig:aa7c9f1d-e17a-42cf-bf40-662ffdc2ea60"/>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p>
      <w:pPr>
        <w:pStyle w:val="FirstParagraph"/>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2023-07-03T04:36:58Z</dcterms:created>
  <dcterms:modified xsi:type="dcterms:W3CDTF">2023-07-03T04:36:58Z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