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7.png" ContentType="image/png"/>
  <Override PartName="/word/media/rId124.png" ContentType="image/png"/>
  <Override PartName="/word/media/rId118.png" ContentType="image/png"/>
  <Override PartName="/word/media/rId64.png" ContentType="image/png"/>
  <Override PartName="/word/media/rId50.png" ContentType="image/png"/>
  <Override PartName="/word/media/rId45.png" ContentType="image/png"/>
  <Override PartName="/word/media/rId121.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2.png" ContentType="image/png"/>
  <Override PartName="/word/media/rId145.png" ContentType="image/png"/>
  <Override PartName="/word/media/rId154.png" ContentType="image/png"/>
  <Override PartName="/word/media/rId149.png" ContentType="image/png"/>
  <Override PartName="/word/media/rId137.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STEF@0b3b1b5</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1.0b3b1b5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1.0b3b1b5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1.0b3b1b5</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40bb6604-bd76-47b7-9213-e52c6f7e7e7f"/>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1.0b3b1b5</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49d647ad-2bbc-4ee4-beb8-afbbff369195"/>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1.0b3b1b5</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5a9274aa-9f55-4966-9636-fc17c85c7827"/>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83ae92a3-69db-4303-92fc-034fa74f1a94"/>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d69e0627-08e3-4829-a3ab-3538005c3dc4"/>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d98d0dd6-910c-4151-b18b-d46696fb7e2b"/>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a674326b-e7e1-4130-b05c-3f3e95726f9c"/>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4d9624ea-45a0-48a1-8c89-88424bd972ee"/>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1.0b3b1b5</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7"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0"/>
    <w:bookmarkStart w:id="101"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1"/>
    <w:bookmarkStart w:id="102"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2"/>
    <w:bookmarkStart w:id="103"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3"/>
    <w:bookmarkStart w:id="104"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4"/>
    <w:bookmarkStart w:id="105"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5"/>
    <w:bookmarkStart w:id="106"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1.0b3b1b5</w:t>
      </w:r>
    </w:p>
    <w:p>
      <w:pPr>
        <w:pStyle w:val="FirstParagraph"/>
      </w:pPr>
    </w:p>
    <w:bookmarkEnd w:id="106"/>
    <w:bookmarkEnd w:id="107"/>
    <w:bookmarkStart w:id="115"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8"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8"/>
    <w:bookmarkStart w:id="109"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9"/>
    <w:bookmarkStart w:id="110"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10"/>
    <w:bookmarkStart w:id="114" w:name="modelo-de-implementación-del-pry01-1"/>
    <w:p>
      <w:pPr>
        <w:pStyle w:val="Ttulo2"/>
      </w:pPr>
      <w:r>
        <w:t xml:space="preserve">Modelo de Implementación del PRY01</w:t>
      </w:r>
    </w:p>
    <w:bookmarkStart w:id="0" w:name="fig:c221a662-1810-4a01-b9be-f82fd239092a"/>
    <w:p>
      <w:pPr>
        <w:pStyle w:val="CaptionedFigure"/>
      </w:pPr>
      <w:bookmarkStart w:id="113" w:name="fig:"/>
      <w:r>
        <w:drawing>
          <wp:inline>
            <wp:extent cx="5600700" cy="4499951"/>
            <wp:effectExtent b="0" l="0" r="0" t="0"/>
            <wp:docPr descr="Imagen 9: Plan de Implementación del Proyecto Gobierno SOA del FNA (PRY01), 2023. Junio 2023 a julio 2023" title="" id="111" name="Picture"/>
            <a:graphic>
              <a:graphicData uri="http://schemas.openxmlformats.org/drawingml/2006/picture">
                <pic:pic>
                  <pic:nvPicPr>
                    <pic:cNvPr descr="images/pry1gobierno.jpg" id="112"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3"/>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1.0b3b1b5</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4"/>
    <w:bookmarkEnd w:id="115"/>
    <w:bookmarkStart w:id="116"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6"/>
    <w:bookmarkStart w:id="13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7"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7"/>
    <w:bookmarkStart w:id="130"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9" name="Picture"/>
            <a:graphic>
              <a:graphicData uri="http://schemas.openxmlformats.org/drawingml/2006/picture">
                <pic:pic>
                  <pic:nvPicPr>
                    <pic:cNvPr descr="images/ESB-IBM.png" id="120" name="Picture"/>
                    <pic:cNvPicPr>
                      <a:picLocks noChangeArrowheads="1" noChangeAspect="1"/>
                    </pic:cNvPicPr>
                  </pic:nvPicPr>
                  <pic:blipFill>
                    <a:blip r:embed="rId118"/>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2" name="Picture"/>
            <a:graphic>
              <a:graphicData uri="http://schemas.openxmlformats.org/drawingml/2006/picture">
                <pic:pic>
                  <pic:nvPicPr>
                    <pic:cNvPr descr="images/esb-procesos.png" id="123" name="Picture"/>
                    <pic:cNvPicPr>
                      <a:picLocks noChangeArrowheads="1" noChangeAspect="1"/>
                    </pic:cNvPicPr>
                  </pic:nvPicPr>
                  <pic:blipFill>
                    <a:blip r:embed="rId121"/>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5" name="Picture"/>
            <a:graphic>
              <a:graphicData uri="http://schemas.openxmlformats.org/drawingml/2006/picture">
                <pic:pic>
                  <pic:nvPicPr>
                    <pic:cNvPr descr="images/ESB-IBM-2.png" id="126" name="Picture"/>
                    <pic:cNvPicPr>
                      <a:picLocks noChangeArrowheads="1" noChangeAspect="1"/>
                    </pic:cNvPicPr>
                  </pic:nvPicPr>
                  <pic:blipFill>
                    <a:blip r:embed="rId124"/>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8" name="Picture"/>
            <a:graphic>
              <a:graphicData uri="http://schemas.openxmlformats.org/drawingml/2006/picture">
                <pic:pic>
                  <pic:nvPicPr>
                    <pic:cNvPr descr="images/CRM.png" id="129" name="Picture"/>
                    <pic:cNvPicPr>
                      <a:picLocks noChangeArrowheads="1" noChangeAspect="1"/>
                    </pic:cNvPicPr>
                  </pic:nvPicPr>
                  <pic:blipFill>
                    <a:blip r:embed="rId127"/>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0b3b1b5</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0"/>
    <w:bookmarkEnd w:id="131"/>
    <w:bookmarkStart w:id="142"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6"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c89d7f83-26aa-405a-8126-b1ab445a02b0"/>
    <w:p>
      <w:pPr>
        <w:pStyle w:val="CaptionedFigure"/>
      </w:pPr>
      <w:bookmarkStart w:id="135" w:name="fig:"/>
      <w:r>
        <w:drawing>
          <wp:inline>
            <wp:extent cx="5600700" cy="3976532"/>
            <wp:effectExtent b="0" l="0" r="0" t="0"/>
            <wp:docPr descr="Imagen 10: Modelo de gobierno SOA del FNA, versión 0.6. Incorpora las actividades de gestión de riesgo, y las capaciddes del repositorio de arquitectura." title="" id="133" name="Picture"/>
            <a:graphic>
              <a:graphicData uri="http://schemas.openxmlformats.org/drawingml/2006/picture">
                <pic:pic>
                  <pic:nvPicPr>
                    <pic:cNvPr descr="images/modelogob06.png" id="134" name="Picture"/>
                    <pic:cNvPicPr>
                      <a:picLocks noChangeArrowheads="1" noChangeAspect="1"/>
                    </pic:cNvPicPr>
                  </pic:nvPicPr>
                  <pic:blipFill>
                    <a:blip r:embed="rId132"/>
                    <a:stretch>
                      <a:fillRect/>
                    </a:stretch>
                  </pic:blipFill>
                  <pic:spPr bwMode="auto">
                    <a:xfrm>
                      <a:off x="0" y="0"/>
                      <a:ext cx="5600700" cy="3976532"/>
                    </a:xfrm>
                    <a:prstGeom prst="rect">
                      <a:avLst/>
                    </a:prstGeom>
                    <a:noFill/>
                    <a:ln w="9525">
                      <a:noFill/>
                      <a:headEnd/>
                      <a:tailEnd/>
                    </a:ln>
                  </pic:spPr>
                </pic:pic>
              </a:graphicData>
            </a:graphic>
          </wp:inline>
        </w:drawing>
      </w:r>
      <w:bookmarkEnd w:id="135"/>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6"/>
    <w:bookmarkStart w:id="141"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4a3459db-a6d5-4e6b-93f7-a9cd5712c826"/>
    <w:p>
      <w:pPr>
        <w:pStyle w:val="CaptionedFigure"/>
      </w:pPr>
      <w:bookmarkStart w:id="140" w:name="fig:"/>
      <w:r>
        <w:drawing>
          <wp:inline>
            <wp:extent cx="5600700" cy="5260757"/>
            <wp:effectExtent b="0" l="0" r="0" t="0"/>
            <wp:docPr descr="Imagen 11: Modelo de Gobierno SOA. Adaptación FNA. Recursos y Herramientas de Gestión del Riesgo de Arquitectura del FNA." title="" id="138" name="Picture"/>
            <a:graphic>
              <a:graphicData uri="http://schemas.openxmlformats.org/drawingml/2006/picture">
                <pic:pic>
                  <pic:nvPicPr>
                    <pic:cNvPr descr="images/oficinamodelo06.png" id="139" name="Picture"/>
                    <pic:cNvPicPr>
                      <a:picLocks noChangeArrowheads="1" noChangeAspect="1"/>
                    </pic:cNvPicPr>
                  </pic:nvPicPr>
                  <pic:blipFill>
                    <a:blip r:embed="rId137"/>
                    <a:stretch>
                      <a:fillRect/>
                    </a:stretch>
                  </pic:blipFill>
                  <pic:spPr bwMode="auto">
                    <a:xfrm>
                      <a:off x="0" y="0"/>
                      <a:ext cx="5600700" cy="5260757"/>
                    </a:xfrm>
                    <a:prstGeom prst="rect">
                      <a:avLst/>
                    </a:prstGeom>
                    <a:noFill/>
                    <a:ln w="9525">
                      <a:noFill/>
                      <a:headEnd/>
                      <a:tailEnd/>
                    </a:ln>
                  </pic:spPr>
                </pic:pic>
              </a:graphicData>
            </a:graphic>
          </wp:inline>
        </w:drawing>
      </w:r>
      <w:bookmarkEnd w:id="140"/>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1.0b3b1b5</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1"/>
    <w:bookmarkEnd w:id="142"/>
    <w:bookmarkStart w:id="159"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4"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3"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3"/>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4"/>
    <w:bookmarkStart w:id="153"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6f7ef20-506b-43e3-8cd7-623b2de4e1e0"/>
    <w:p>
      <w:pPr>
        <w:pStyle w:val="CaptionedFigure"/>
      </w:pPr>
      <w:bookmarkStart w:id="148" w:name="fig:"/>
      <w:r>
        <w:drawing>
          <wp:inline>
            <wp:extent cx="5600700" cy="5139172"/>
            <wp:effectExtent b="0" l="0" r="0" t="0"/>
            <wp:docPr descr="Imagen 12: Modelo de ejemplo para la representación de los artefactos, recursos, actividades y activos (software) afectados." title="" id="146" name="Picture"/>
            <a:graphic>
              <a:graphicData uri="http://schemas.openxmlformats.org/drawingml/2006/picture">
                <pic:pic>
                  <pic:nvPicPr>
                    <pic:cNvPr descr="images/modeloriesgo.png" id="147" name="Picture"/>
                    <pic:cNvPicPr>
                      <a:picLocks noChangeArrowheads="1" noChangeAspect="1"/>
                    </pic:cNvPicPr>
                  </pic:nvPicPr>
                  <pic:blipFill>
                    <a:blip r:embed="rId145"/>
                    <a:stretch>
                      <a:fillRect/>
                    </a:stretch>
                  </pic:blipFill>
                  <pic:spPr bwMode="auto">
                    <a:xfrm>
                      <a:off x="0" y="0"/>
                      <a:ext cx="5600700" cy="5139172"/>
                    </a:xfrm>
                    <a:prstGeom prst="rect">
                      <a:avLst/>
                    </a:prstGeom>
                    <a:noFill/>
                    <a:ln w="9525">
                      <a:noFill/>
                      <a:headEnd/>
                      <a:tailEnd/>
                    </a:ln>
                  </pic:spPr>
                </pic:pic>
              </a:graphicData>
            </a:graphic>
          </wp:inline>
        </w:drawing>
      </w:r>
      <w:bookmarkEnd w:id="148"/>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350df41e-1e06-45bf-b722-450da8f2685e"/>
    <w:p>
      <w:pPr>
        <w:pStyle w:val="CaptionedFigure"/>
      </w:pPr>
      <w:bookmarkStart w:id="152" w:name="fig:"/>
      <w:r>
        <w:drawing>
          <wp:inline>
            <wp:extent cx="5600700" cy="5239173"/>
            <wp:effectExtent b="0" l="0" r="0" t="0"/>
            <wp:docPr descr="Imagen 13: Relación de los conceptos del modelo de riesgo con las preguntas de control del tratamiento de riesgos de arquitectura del FNA." title="" id="150" name="Picture"/>
            <a:graphic>
              <a:graphicData uri="http://schemas.openxmlformats.org/drawingml/2006/picture">
                <pic:pic>
                  <pic:nvPicPr>
                    <pic:cNvPr descr="images/modeloriesgo1a.png" id="151" name="Picture"/>
                    <pic:cNvPicPr>
                      <a:picLocks noChangeArrowheads="1" noChangeAspect="1"/>
                    </pic:cNvPicPr>
                  </pic:nvPicPr>
                  <pic:blipFill>
                    <a:blip r:embed="rId149"/>
                    <a:stretch>
                      <a:fillRect/>
                    </a:stretch>
                  </pic:blipFill>
                  <pic:spPr bwMode="auto">
                    <a:xfrm>
                      <a:off x="0" y="0"/>
                      <a:ext cx="5600700" cy="5239173"/>
                    </a:xfrm>
                    <a:prstGeom prst="rect">
                      <a:avLst/>
                    </a:prstGeom>
                    <a:noFill/>
                    <a:ln w="9525">
                      <a:noFill/>
                      <a:headEnd/>
                      <a:tailEnd/>
                    </a:ln>
                  </pic:spPr>
                </pic:pic>
              </a:graphicData>
            </a:graphic>
          </wp:inline>
        </w:drawing>
      </w:r>
      <w:bookmarkEnd w:id="152"/>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3"/>
    <w:bookmarkStart w:id="158"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f38366aa-f6df-4af7-8b88-b7e2f2733129"/>
    <w:p>
      <w:pPr>
        <w:pStyle w:val="CaptionedFigure"/>
      </w:pPr>
      <w:bookmarkStart w:id="157" w:name="fig:"/>
      <w:r>
        <w:drawing>
          <wp:inline>
            <wp:extent cx="5600700" cy="6275174"/>
            <wp:effectExtent b="0" l="0" r="0" t="0"/>
            <wp:docPr descr="Imagen 14: Modelo de ejemplo para la representación de los artefactos, recursos, actividades y activos (software) afectados." title="" id="155" name="Picture"/>
            <a:graphic>
              <a:graphicData uri="http://schemas.openxmlformats.org/drawingml/2006/picture">
                <pic:pic>
                  <pic:nvPicPr>
                    <pic:cNvPr descr="images/modeloriesgo001.png" id="156" name="Picture"/>
                    <pic:cNvPicPr>
                      <a:picLocks noChangeArrowheads="1" noChangeAspect="1"/>
                    </pic:cNvPicPr>
                  </pic:nvPicPr>
                  <pic:blipFill>
                    <a:blip r:embed="rId154"/>
                    <a:stretch>
                      <a:fillRect/>
                    </a:stretch>
                  </pic:blipFill>
                  <pic:spPr bwMode="auto">
                    <a:xfrm>
                      <a:off x="0" y="0"/>
                      <a:ext cx="5600700" cy="6275174"/>
                    </a:xfrm>
                    <a:prstGeom prst="rect">
                      <a:avLst/>
                    </a:prstGeom>
                    <a:noFill/>
                    <a:ln w="9525">
                      <a:noFill/>
                      <a:headEnd/>
                      <a:tailEnd/>
                    </a:ln>
                  </pic:spPr>
                </pic:pic>
              </a:graphicData>
            </a:graphic>
          </wp:inline>
        </w:drawing>
      </w:r>
      <w:bookmarkEnd w:id="157"/>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p>
      <w:pPr>
        <w:pStyle w:val="Textoindependiente"/>
      </w:pPr>
      <w:r>
        <w:t xml:space="preserve">Este es una cita a</w:t>
      </w:r>
      <w:r>
        <w:t xml:space="preserve"> </w:t>
      </w:r>
      <w:r>
        <w:t xml:space="preserve">[</w:t>
      </w:r>
      <w:hyperlink w:anchor="ref-16Nvi8gCt">
        <w:r>
          <w:rPr>
            <w:rStyle w:val="Hipervnculo"/>
          </w:rPr>
          <w:t xml:space="preserve">1</w:t>
        </w:r>
      </w:hyperlink>
      <w:r>
        <w:t xml:space="preserve">]</w:t>
      </w:r>
    </w:p>
    <w:bookmarkEnd w:id="158"/>
    <w:bookmarkEnd w:id="159"/>
    <w:bookmarkStart w:id="165" w:name="referencias"/>
    <w:p>
      <w:pPr>
        <w:pStyle w:val="Ttulo1"/>
      </w:pPr>
      <w:r>
        <w:t xml:space="preserve">Referencias</w:t>
      </w:r>
    </w:p>
    <w:bookmarkStart w:id="162"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Start w:id="161" w:name="ref-16Nvi8gCt"/>
    <w:p>
      <w:pPr>
        <w:pStyle w:val="Bibliography"/>
      </w:pPr>
      <w:r>
        <w:t xml:space="preserve">1.</w:t>
      </w:r>
      <w:r>
        <w:t xml:space="preserve"> </w:t>
      </w:r>
      <w:r>
        <w:t xml:space="preserve">	</w:t>
      </w:r>
      <w:r>
        <w:rPr>
          <w:bCs/>
          <w:b/>
        </w:rPr>
        <w:t xml:space="preserve">Jupyter notebooks ? A publishing format for reproducible computational workflows</w:t>
      </w:r>
      <w:r>
        <w:t xml:space="preserve"> </w:t>
      </w:r>
      <w:r>
        <w:t xml:space="preserve">Thomas Kluyver, Benjamin Ragan-Kelley, Fernando Pérez, Brian Granger, Matthias Bussonnier, Jonathan Frederic, Kyle Kelley, Jessica Hamrick, Jason Grout, Sylvain Corlay, … Jupyter development team</w:t>
      </w:r>
      <w:r>
        <w:t xml:space="preserve"> </w:t>
      </w:r>
      <w:r>
        <w:rPr>
          <w:iCs/>
          <w:i/>
        </w:rPr>
        <w:t xml:space="preserve">Positioning and power in academic publishing: Players, agents and agendas</w:t>
      </w:r>
      <w:r>
        <w:t xml:space="preserve"> </w:t>
      </w:r>
      <w:r>
        <w:t xml:space="preserve">(2016)</w:t>
      </w:r>
      <w:r>
        <w:t xml:space="preserve"> </w:t>
      </w:r>
      <w:hyperlink r:id="rId160">
        <w:r>
          <w:rPr>
            <w:rStyle w:val="Hipervnculo"/>
          </w:rPr>
          <w:t xml:space="preserve">https://eprints.soton.ac.uk/403913/</w:t>
        </w:r>
      </w:hyperlink>
    </w:p>
    <w:bookmarkEnd w:id="161"/>
    <w:bookmarkEnd w:id="162"/>
    <w:bookmarkStart w:id="164" w:name="refs"/>
    <w:bookmarkStart w:id="163" w:name="ref-16Nvi8gCt"/>
    <w:p>
      <w:pPr>
        <w:pStyle w:val="Bibliography"/>
      </w:pPr>
      <w:r>
        <w:t xml:space="preserve">1.</w:t>
      </w:r>
      <w:r>
        <w:t xml:space="preserve"> </w:t>
      </w:r>
      <w:r>
        <w:t xml:space="preserve">	</w:t>
      </w:r>
      <w:r>
        <w:rPr>
          <w:bCs/>
          <w:b/>
        </w:rPr>
        <w:t xml:space="preserve">Jupyter notebooks ? A publishing format for reproducible computational workflows</w:t>
      </w:r>
      <w:r>
        <w:t xml:space="preserve"> </w:t>
      </w:r>
      <w:r>
        <w:t xml:space="preserve">Thomas Kluyver, Benjamin Ragan-Kelley, Fernando Pérez, Brian Granger, Matthias Bussonnier, Jonathan Frederic, Kyle Kelley, Jessica Hamrick, Jason Grout, Sylvain Corlay, … Jupyter development team</w:t>
      </w:r>
      <w:r>
        <w:t xml:space="preserve"> </w:t>
      </w:r>
      <w:r>
        <w:rPr>
          <w:iCs/>
          <w:i/>
        </w:rPr>
        <w:t xml:space="preserve">Positioning and power in academic publishing: Players, agents and agendas</w:t>
      </w:r>
      <w:r>
        <w:t xml:space="preserve"> </w:t>
      </w:r>
      <w:r>
        <w:t xml:space="preserve">(2016)</w:t>
      </w:r>
      <w:r>
        <w:t xml:space="preserve"> </w:t>
      </w:r>
      <w:hyperlink r:id="rId160">
        <w:r>
          <w:rPr>
            <w:rStyle w:val="Hipervnculo"/>
          </w:rPr>
          <w:t xml:space="preserve">https://eprints.soton.ac.uk/403913/</w:t>
        </w:r>
      </w:hyperlink>
    </w:p>
    <w:bookmarkEnd w:id="163"/>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1" Target="media/rId12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160" Target="https://eprints.soton.ac.uk/403913/"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0b3b1b5b4edfbfa40bcda1bdf1435255957bade1/"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160" Target="https://eprints.soton.ac.uk/403913/"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0b3b1b5b4edfbfa40bcda1bdf1435255957bade1/"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2023-07-04T23:17:09Z</dcterms:created>
  <dcterms:modified xsi:type="dcterms:W3CDTF">2023-07-04T23:17:09Z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