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60.png" ContentType="image/png"/>
  <Override PartName="/word/media/rId57.png" ContentType="image/png"/>
  <Override PartName="/word/media/rId51.png" ContentType="image/png"/>
  <Override PartName="/word/media/rId54.png" ContentType="image/png"/>
  <Override PartName="/word/media/rId34.jpg" ContentType="image/jpe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Etapa</w:t>
      </w:r>
      <w:r>
        <w:t xml:space="preserve"> </w:t>
      </w:r>
      <w:r>
        <w:t xml:space="preserve">2.</w:t>
      </w:r>
      <w:r>
        <w:t xml:space="preserve"> </w:t>
      </w:r>
      <w:r>
        <w:t xml:space="preserve">Ejecución</w:t>
      </w:r>
      <w:r>
        <w:t xml:space="preserve"> </w:t>
      </w:r>
      <w:r>
        <w:t xml:space="preserve">Gobierno.</w:t>
      </w:r>
      <w:r>
        <w:t xml:space="preserve"> </w:t>
      </w:r>
      <w:r>
        <w:t xml:space="preserve">Incremento</w:t>
      </w:r>
      <w:r>
        <w:t xml:space="preserve"> </w:t>
      </w:r>
      <w:r>
        <w:t xml:space="preserve">1</w:t>
      </w:r>
    </w:p>
    <w:p>
      <w:pPr>
        <w:pStyle w:val="FirstParagraph"/>
      </w:pPr>
      <w:r>
        <w:t xml:space="preserve">Los productos contractuales (PR0n) de esta etapa(</w:t>
      </w:r>
      <w:hyperlink r:id="rId20">
        <w:r>
          <w:rPr>
            <w:rStyle w:val="Hipervnculo"/>
          </w:rPr>
          <w:t xml:space="preserve">Web</w:t>
        </w:r>
      </w:hyperlink>
      <w:r>
        <w:t xml:space="preserve">)</w:t>
      </w:r>
      <w:r>
        <w:t xml:space="preserve"> </w:t>
      </w:r>
      <w:r>
        <w:t xml:space="preserve">están basados en el resultado de la consultoría</w:t>
      </w:r>
      <w:r>
        <w:t xml:space="preserve"> </w:t>
      </w:r>
      <w:r>
        <w:t xml:space="preserve">“</w:t>
      </w:r>
      <w:r>
        <w:t xml:space="preserve">Arquitectura E-Service</w:t>
      </w:r>
      <w:r>
        <w:t xml:space="preserve">”</w:t>
      </w:r>
      <w:r>
        <w:t xml:space="preserve">,</w:t>
      </w:r>
      <w:r>
        <w:t xml:space="preserve"> </w:t>
      </w:r>
      <w:hyperlink r:id="rId21">
        <w:r>
          <w:rPr>
            <w:rStyle w:val="Hipervnculo"/>
          </w:rPr>
          <w:t xml:space="preserve">Sharepoint STEF@102a45a</w:t>
        </w:r>
      </w:hyperlink>
      <w:r>
        <w:t xml:space="preserve"> </w:t>
      </w:r>
      <w:r>
        <w:t xml:space="preserve">del June 30, 2023.</w:t>
      </w:r>
      <w:r>
        <w:t xml:space="preserve"> </w:t>
      </w:r>
    </w:p>
    <w:p>
      <w:pPr>
        <w:pStyle w:val="Textoindependiente"/>
      </w:pPr>
      <w:r>
        <w:t xml:space="preserve">   </w:t>
      </w:r>
      <w:r>
        <w:rPr>
          <w:bCs/>
          <w:b/>
        </w:rPr>
        <w:t xml:space="preserve">Versión</w:t>
      </w:r>
      <w:r>
        <w:t xml:space="preserve"> </w:t>
      </w:r>
      <w:r>
        <w:t xml:space="preserve">del producto 1.102a45a de 30 Jun 2023</w:t>
      </w:r>
    </w:p>
    <w:p>
      <w:pPr>
        <w:pStyle w:val="Textoindependiente"/>
      </w:pPr>
    </w:p>
    <w:bookmarkStart w:id="27" w:name="autores"/>
    <w:p>
      <w:pPr>
        <w:pStyle w:val="Ttulo2"/>
      </w:pPr>
      <w:r>
        <w:t xml:space="preserve">Autores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Harry Wong,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2">
        <w:r>
          <w:rPr>
            <w:rStyle w:val="Hipervnculo"/>
          </w:rPr>
          <w:t xml:space="preserve">e_hwong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Arquitecto SOA, Stefanini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Wilson Morales,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3">
        <w:r>
          <w:rPr>
            <w:rStyle w:val="Hipervnculo"/>
          </w:rPr>
          <w:t xml:space="preserve">wmorales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Software, Aplicaciones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Flavio Hernandez,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4">
        <w:r>
          <w:rPr>
            <w:rStyle w:val="Hipervnculo"/>
          </w:rPr>
          <w:t xml:space="preserve">fhernandez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SOA, Arquitectura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Viviana M. Martinez,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5">
        <w:r>
          <w:rPr>
            <w:rStyle w:val="Hipervnculo"/>
          </w:rPr>
          <w:t xml:space="preserve">vmmartinez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Analista, Proyectos</w:t>
      </w:r>
      <w:r>
        <w:t xml:space="preserve"> </w:t>
      </w:r>
    </w:p>
    <w:bookmarkStart w:id="26" w:name="correspondence"/>
    <w:p>
      <w:pPr>
        <w:pStyle w:val="FirstParagraph"/>
      </w:pPr>
      <w:r>
        <w:t xml:space="preserve">✉ — Enviar mensajes a Harry Wong, ing. &lt;e_hwong@stefanini.com&gt;.</w:t>
      </w:r>
    </w:p>
    <w:bookmarkEnd w:id="26"/>
    <w:p>
      <w:pPr>
        <w:pStyle w:val="Textoindependiente"/>
      </w:pPr>
    </w:p>
    <w:bookmarkEnd w:id="27"/>
    <w:bookmarkStart w:id="28" w:name="objetivo-del-documento"/>
    <w:p>
      <w:pPr>
        <w:pStyle w:val="Ttulo2"/>
      </w:pPr>
      <w:r>
        <w:t xml:space="preserve">Objetivo del Documento</w:t>
      </w:r>
    </w:p>
    <w:p>
      <w:pPr>
        <w:pStyle w:val="FirstParagraph"/>
      </w:pPr>
      <w:r>
        <w:t xml:space="preserve">Entrega de los productos de la Etapa 2, PR04 y PR05, del proyecto Gobierno SOA: Políticas, flujos de trabajo y personas que ejercitan y conforman (cumplen) con el gobierno SOA del FNA a desplegar a cargo de la oficina de arquitectura.</w:t>
      </w:r>
    </w:p>
    <w:bookmarkEnd w:id="28"/>
    <w:bookmarkStart w:id="30" w:name="control-de-cambios"/>
    <w:p>
      <w:pPr>
        <w:pStyle w:val="Ttulo2"/>
      </w:pPr>
      <w:r>
        <w:t xml:space="preserve">Control de Cambios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880"/>
        <w:gridCol w:w="50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PRY01 Gobierno SOA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E-Service, FNA, Análisis de brecha, GAP, Comparativa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1.102a45a 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1.102a45a</w:t>
      </w:r>
    </w:p>
    <w:p>
      <w:pPr>
        <w:pStyle w:val="FirstParagraph"/>
      </w:pPr>
    </w:p>
    <w:bookmarkEnd w:id="30"/>
    <w:bookmarkStart w:id="39" w:name="producto-4"/>
    <w:p>
      <w:pPr>
        <w:pStyle w:val="Ttulo1"/>
      </w:pPr>
      <w:r>
        <w:t xml:space="preserve">Producto 4:</w:t>
      </w:r>
    </w:p>
    <w:p>
      <w:pPr>
        <w:pStyle w:val="FirstParagraph"/>
      </w:pPr>
      <w:r>
        <w:t xml:space="preserve">Desarrollo de procedimientos, funciones, entregables, selección de roles y herramientas a desplegar para la puesta en marcha de un Comité de Arquitectura del FNA adscrito a la Vicepresidencia de Tecnología FNA y en cumplimiento con el Gobierno SOA, versión 0.5, objeto de este proyecto.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31" w:name="justificación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Comité de Arquitectura es la entidad de supervisión ubicada entre la oficina de arquitectura (PR02, objeto de este proyecto) y los líderes de grupo de productos del FNA y áreas interesadas. Es una figura necesaria dado los resultados de los diagnósticos SOA, en particular el de riesgos técnicos, realizados en la Fase I de la consultoría E-Service que señalan como causantes a la complejidad y (baja) agilidad que enfrenta el FNA. El Comité de Arquitectura funge como complemento, apoyo y arbitraje (directriz) de los decisiones conciernentes a los trabajo de arquitectura del FNA dirigidos a la solución de estos problemas.</w:t>
      </w:r>
    </w:p>
    <w:bookmarkEnd w:id="31"/>
    <w:bookmarkStart w:id="32" w:name="contenidos"/>
    <w:p>
      <w:pPr>
        <w:pStyle w:val="Ttulo2"/>
      </w:pPr>
      <w:r>
        <w:t xml:space="preserve">Contenidos</w:t>
      </w:r>
    </w:p>
    <w:p>
      <w:pPr>
        <w:numPr>
          <w:ilvl w:val="0"/>
          <w:numId w:val="1002"/>
        </w:numPr>
        <w:pStyle w:val="Compact"/>
      </w:pPr>
      <w:r>
        <w:t xml:space="preserve">Modelo operativo del Comité de Gobierno de Arquitectura del FNA: actores, información y procedimientos</w:t>
      </w:r>
    </w:p>
    <w:p>
      <w:pPr>
        <w:numPr>
          <w:ilvl w:val="0"/>
          <w:numId w:val="1002"/>
        </w:numPr>
        <w:pStyle w:val="Compact"/>
      </w:pPr>
      <w:r>
        <w:t xml:space="preserve">Consideraciones para la puesta en marcha del Comité</w:t>
      </w:r>
    </w:p>
    <w:p>
      <w:pPr>
        <w:numPr>
          <w:ilvl w:val="0"/>
          <w:numId w:val="1002"/>
        </w:numPr>
        <w:pStyle w:val="Compact"/>
      </w:pPr>
      <w:r>
        <w:t xml:space="preserve">Aplicaciones de soporte a la Oficina de Arquitecura (Pr02) y a la Vicepresidencia de Tecnología del FNA</w:t>
      </w:r>
    </w:p>
    <w:p>
      <w:pPr>
        <w:numPr>
          <w:ilvl w:val="0"/>
          <w:numId w:val="1002"/>
        </w:numPr>
        <w:pStyle w:val="Compact"/>
      </w:pPr>
      <w:r>
        <w:t xml:space="preserve">Matriz de responsabilidades y procedimiento del Comité de Arquitectura</w:t>
      </w:r>
    </w:p>
    <w:p>
      <w:pPr>
        <w:numPr>
          <w:ilvl w:val="0"/>
          <w:numId w:val="1002"/>
        </w:numPr>
        <w:pStyle w:val="Compact"/>
      </w:pPr>
      <w:r>
        <w:t xml:space="preserve">Métodos de evaluación de arquitecturas para el FNA</w:t>
      </w:r>
    </w:p>
    <w:p>
      <w:pPr>
        <w:pStyle w:val="FirstParagraph"/>
      </w:pPr>
    </w:p>
    <w:bookmarkEnd w:id="32"/>
    <w:bookmarkStart w:id="33" w:name="criterios-de-aceptación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3"/>
        </w:numPr>
        <w:pStyle w:val="Compact"/>
      </w:pPr>
      <w:r>
        <w:t xml:space="preserve">Entendimiento funcional y operativa del comité de arquitectura del FNA</w:t>
      </w:r>
    </w:p>
    <w:p>
      <w:pPr>
        <w:numPr>
          <w:ilvl w:val="0"/>
          <w:numId w:val="1003"/>
        </w:numPr>
        <w:pStyle w:val="Compact"/>
      </w:pPr>
      <w:r>
        <w:t xml:space="preserve">Matriz de roles y procedimientos del del comité de arquitetura del FNA</w:t>
      </w:r>
    </w:p>
    <w:p>
      <w:pPr>
        <w:pStyle w:val="FirstParagraph"/>
      </w:pPr>
    </w:p>
    <w:bookmarkEnd w:id="33"/>
    <w:bookmarkStart w:id="38" w:name="modelo-de-implementación-del-pry01"/>
    <w:p>
      <w:pPr>
        <w:pStyle w:val="Ttulo2"/>
      </w:pPr>
      <w:r>
        <w:t xml:space="preserve">Modelo de Implementación del PRY01</w:t>
      </w:r>
    </w:p>
    <w:bookmarkStart w:id="0" w:name="fig:b7cf906a-dc7e-44e1-9351-8ae06edb35ad"/>
    <w:p>
      <w:pPr>
        <w:pStyle w:val="CaptionedFigure"/>
      </w:pPr>
      <w:bookmarkStart w:id="37" w:name="fig:"/>
      <w:r>
        <w:drawing>
          <wp:inline>
            <wp:extent cx="5600700" cy="4499951"/>
            <wp:effectExtent b="0" l="0" r="0" t="0"/>
            <wp:docPr descr="Imagen 1: Plan de Implementación del Proyecto Gobierno SOA del FNA (PRY01), 2023. Junio 2023 a julio 2023" title="" id="35" name="Picture"/>
            <a:graphic>
              <a:graphicData uri="http://schemas.openxmlformats.org/drawingml/2006/picture">
                <pic:pic>
                  <pic:nvPicPr>
                    <pic:cNvPr descr="images/pry1gobierno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Imagen 1: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p>
      <w:pPr>
        <w:pStyle w:val="Textoindependiente"/>
      </w:pPr>
      <w:r>
        <w:t xml:space="preserve">Modelo operativo del Comité</w:t>
      </w:r>
    </w:p>
    <w:p>
      <w:pPr>
        <w:pStyle w:val="Textoindependiente"/>
      </w:pPr>
      <w:r>
        <w:t xml:space="preserve">La evaluación de arquitectura queda ordenada en 3 aspectos:</w:t>
      </w:r>
      <w:r>
        <w:t xml:space="preserve"> </w:t>
      </w:r>
      <w:r>
        <w:t xml:space="preserve">1. Riesgos técnicos</w:t>
      </w:r>
      <w:r>
        <w:t xml:space="preserve"> </w:t>
      </w:r>
      <w:r>
        <w:t xml:space="preserve">2. Puntos de Sensibilidad</w:t>
      </w:r>
      <w:r>
        <w:t xml:space="preserve"> </w:t>
      </w:r>
      <w:r>
        <w:t xml:space="preserve">3. Compensaciones</w:t>
      </w:r>
    </w:p>
    <w:p>
      <w:pPr>
        <w:pStyle w:val="Textoindependiente"/>
      </w:pPr>
      <w:r>
        <w:t xml:space="preserve">Mecánica</w:t>
      </w:r>
      <w:r>
        <w:t xml:space="preserve"> </w:t>
      </w:r>
      <w:r>
        <w:t xml:space="preserve">1. Elaboración de escenarios (Arq.)</w:t>
      </w:r>
      <w:r>
        <w:t xml:space="preserve"> </w:t>
      </w:r>
      <w:r>
        <w:t xml:space="preserve">2. Evaluación de escenarios (Eval.)</w:t>
      </w:r>
      <w:r>
        <w:t xml:space="preserve"> </w:t>
      </w:r>
      <w:r>
        <w:t xml:space="preserve">3. Calificación del árbol utilidad (Arq.)</w:t>
      </w:r>
    </w:p>
    <w:p>
      <w:pPr>
        <w:pStyle w:val="Textoindependiente"/>
      </w:pPr>
      <w:r>
        <w:t xml:space="preserve">Escenarios</w:t>
      </w:r>
      <w:r>
        <w:t xml:space="preserve"> </w:t>
      </w:r>
      <w:r>
        <w:t xml:space="preserve">* operaciones más usadas en el negocio: cuáles son?</w:t>
      </w: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1.102a45a</w:t>
      </w:r>
    </w:p>
    <w:p>
      <w:pPr>
        <w:pStyle w:val="FirstParagraph"/>
      </w:pPr>
    </w:p>
    <w:bookmarkEnd w:id="38"/>
    <w:bookmarkEnd w:id="39"/>
    <w:bookmarkStart w:id="47" w:name="X960c319d5b6eb4ad49843cd8d01224da45e0610"/>
    <w:p>
      <w:pPr>
        <w:pStyle w:val="Ttulo1"/>
      </w:pPr>
      <w:r>
        <w:t xml:space="preserve">Producto 5: PR05. Procesos de mejoramiento de diseño y vigilancia de riesgos técnicos</w:t>
      </w:r>
    </w:p>
    <w:p>
      <w:pPr>
        <w:pStyle w:val="FirstParagraph"/>
      </w:pPr>
      <w:r>
        <w:t xml:space="preserve">Uno de los principales valores que un Gobierno entrega es la identificación y la gestión de las acciones para controlar los riesgos. Y en el caso de este ejercicio de gobierno trataremos los riesgos de tecnología y de arquitectura SOA del FNA consignados en el estudio E-Service, Fase I (2022).</w:t>
      </w:r>
    </w:p>
    <w:p>
      <w:pPr>
        <w:pStyle w:val="Textoindependiente"/>
      </w:pPr>
      <w:r>
        <w:t xml:space="preserve">El producto 5 es el detalle de los procedimientos y técnicas de tratamiento y modelamiento diseñadas para la operación de los riesgos técnicos del FNA consignados en el estudio E-Service, Fase I (2022).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40" w:name="justificación-1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tratamiento de los riesgos tecnológicos identifidos en el diagnóstco SOA de Fase I, E-Service (2022)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 exigen acciones tal que mitiguen y adviertan al FNA sobre los impactos que estos comportan. El desarrollo de la vigilancia de los riesgos técnicos entra a reforzar al gobierno SOA del Fondo Nacional del Ahorro en curso en este proyecto y resulta en la personalización y aplicación de métodos que den tratamiento a estos. Además, operar los riesgos técnicos es de carácter obligatorio, dado que es un objetivo del Gobierno SOA del FNA: objtivo Vigilancia del riesgo tecnológico (G-OBJ1).</w:t>
      </w:r>
    </w:p>
    <w:bookmarkEnd w:id="40"/>
    <w:bookmarkStart w:id="41" w:name="contenidos-1"/>
    <w:p>
      <w:pPr>
        <w:pStyle w:val="Ttulo2"/>
      </w:pPr>
      <w:r>
        <w:t xml:space="preserve">Contenidos</w:t>
      </w:r>
    </w:p>
    <w:p>
      <w:pPr>
        <w:numPr>
          <w:ilvl w:val="0"/>
          <w:numId w:val="1004"/>
        </w:numPr>
        <w:pStyle w:val="Compact"/>
      </w:pPr>
      <w:r>
        <w:t xml:space="preserve">Definición e identificación del riesgo técnico del FNA (E-Service, Fase I)</w:t>
      </w:r>
    </w:p>
    <w:p>
      <w:pPr>
        <w:numPr>
          <w:ilvl w:val="0"/>
          <w:numId w:val="1004"/>
        </w:numPr>
        <w:pStyle w:val="Compact"/>
      </w:pPr>
      <w:r>
        <w:t xml:space="preserve">Métodos para el tratamiento de los riesgos técnicos E-Service Fase I</w:t>
      </w:r>
    </w:p>
    <w:p>
      <w:pPr>
        <w:numPr>
          <w:ilvl w:val="0"/>
          <w:numId w:val="1004"/>
        </w:numPr>
        <w:pStyle w:val="Compact"/>
      </w:pPr>
      <w:r>
        <w:t xml:space="preserve">Modelamiento del riesgo técnico del FNA (Oficina de Arquitectura FNA)</w:t>
      </w:r>
    </w:p>
    <w:p>
      <w:pPr>
        <w:pStyle w:val="FirstParagraph"/>
      </w:pPr>
    </w:p>
    <w:bookmarkEnd w:id="41"/>
    <w:bookmarkStart w:id="42" w:name="criterios-de-aceptación-1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5"/>
        </w:numPr>
        <w:pStyle w:val="Compact"/>
      </w:pPr>
      <w:r>
        <w:t xml:space="preserve">Procedimientos y técnicas de modelamiento para el tratamiento de los riesgos técnicos del FNA (E-Service, 2022)</w:t>
      </w:r>
    </w:p>
    <w:p>
      <w:pPr>
        <w:numPr>
          <w:ilvl w:val="0"/>
          <w:numId w:val="1005"/>
        </w:numPr>
        <w:pStyle w:val="Compact"/>
      </w:pPr>
      <w:r>
        <w:t xml:space="preserve">Matriz de riesgos técnicos e impactos del FNA</w:t>
      </w:r>
    </w:p>
    <w:p>
      <w:pPr>
        <w:pStyle w:val="FirstParagraph"/>
      </w:pPr>
    </w:p>
    <w:bookmarkEnd w:id="42"/>
    <w:bookmarkStart w:id="46" w:name="modelo-de-implementación-del-pry01-1"/>
    <w:p>
      <w:pPr>
        <w:pStyle w:val="Ttulo2"/>
      </w:pPr>
      <w:r>
        <w:t xml:space="preserve">Modelo de Implementación del PRY01</w:t>
      </w:r>
    </w:p>
    <w:bookmarkStart w:id="0" w:name="fig:dd58ea01-310f-4c0d-b884-7f7f9e9783db"/>
    <w:p>
      <w:pPr>
        <w:pStyle w:val="CaptionedFigure"/>
      </w:pPr>
      <w:bookmarkStart w:id="45" w:name="fig:"/>
      <w:r>
        <w:drawing>
          <wp:inline>
            <wp:extent cx="5600700" cy="4499951"/>
            <wp:effectExtent b="0" l="0" r="0" t="0"/>
            <wp:docPr descr="Imagen 2: Plan de Implementación del Proyecto Gobierno SOA del FNA (PRY01), 2023. Junio 2023 a julio 2023" title="" id="43" name="Picture"/>
            <a:graphic>
              <a:graphicData uri="http://schemas.openxmlformats.org/drawingml/2006/picture">
                <pic:pic>
                  <pic:nvPicPr>
                    <pic:cNvPr descr="images/pry1gobierno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Imagen 2: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bookmarkEnd w:id="46"/>
    <w:bookmarkEnd w:id="47"/>
    <w:bookmarkStart w:id="50" w:name="Xbeeac1d9492f835d29206469e9b272a8520816f"/>
    <w:p>
      <w:pPr>
        <w:pStyle w:val="Ttulo1"/>
      </w:pPr>
      <w:r>
        <w:t xml:space="preserve">Antecedentes de Riesgo Técnico de Arquitectura FNA</w:t>
      </w:r>
    </w:p>
    <w:p>
      <w:pPr>
        <w:pStyle w:val="FirstParagraph"/>
      </w:pPr>
      <w:r>
        <w:t xml:space="preserve">Es importante definir lo que es el riesgo técnico en el contexto de este proyecto. Con esto, podemos identificar y realizar propuestas y diseños que los mitiguen.</w:t>
      </w:r>
    </w:p>
    <w:bookmarkStart w:id="49" w:name="Xc5c97f7920903615d2dd37bbe42739d0f6313a3"/>
    <w:p>
      <w:pPr>
        <w:pStyle w:val="Ttulo2"/>
      </w:pPr>
      <w:r>
        <w:t xml:space="preserve">Definición de Riesgo Técnico de Arquitectura del FNA</w:t>
      </w:r>
    </w:p>
    <w:p>
      <w:pPr>
        <w:pStyle w:val="FirstParagraph"/>
      </w:pPr>
      <w:r>
        <w:t xml:space="preserve">Para la definición de riesgo técnico de las arquitecturas del FNA, en el contexto de este proyecto, utilizaremos un ejemplo de un caso existente en el FNA</w:t>
      </w:r>
      <w:r>
        <w:rPr>
          <w:rStyle w:val="Refdenotaalpie"/>
        </w:rPr>
        <w:footnoteReference w:id="48"/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De las problemáticas encontradas en la Fase 1 del presente diagnóstico, nos referimos explícitamente a las que incrementan la complejidad de las soluciones SOA y soluciones de software del FNA, _como el manejo de dependencias de los servicios SOA del Fondo_. Es conocido y demostrado que solo esta condición es parte de la causa de los sobreesfuerzos que se dan en la evolución de dichas soluciones, y de las dificultades que se encuentran en los análisis de impacto de estos cambios.</w:t>
      </w:r>
    </w:p>
    <w:bookmarkEnd w:id="49"/>
    <w:bookmarkEnd w:id="50"/>
    <w:bookmarkStart w:id="6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9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102a45a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6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6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6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6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6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6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6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6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6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52" name="Picture"/>
            <a:graphic>
              <a:graphicData uri="http://schemas.openxmlformats.org/drawingml/2006/picture">
                <pic:pic>
                  <pic:nvPicPr>
                    <pic:cNvPr descr="images/ESB-IBM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55" name="Picture"/>
            <a:graphic>
              <a:graphicData uri="http://schemas.openxmlformats.org/drawingml/2006/picture">
                <pic:pic>
                  <pic:nvPicPr>
                    <pic:cNvPr descr="images/esb-procesos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58" name="Picture"/>
            <a:graphic>
              <a:graphicData uri="http://schemas.openxmlformats.org/drawingml/2006/picture">
                <pic:pic>
                  <pic:nvPicPr>
                    <pic:cNvPr descr="images/ESB-IBM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61" name="Picture"/>
            <a:graphic>
              <a:graphicData uri="http://schemas.openxmlformats.org/drawingml/2006/picture">
                <pic:pic>
                  <pic:nvPicPr>
                    <pic:cNvPr descr="images/CRM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63"/>
    <w:bookmarkEnd w:id="64"/>
    <w:bookmarkEnd w:id="65"/>
    <w:bookmarkStart w:id="70" w:name="referencias"/>
    <w:p>
      <w:pPr>
        <w:pStyle w:val="Ttulo1"/>
      </w:pPr>
      <w:r>
        <w:t xml:space="preserve">Referencias</w:t>
      </w:r>
    </w:p>
    <w:bookmarkStart w:id="66" w:name="refs"/>
    <w:p>
      <w:pPr>
        <w:pStyle w:val="Bibliography"/>
      </w:pPr>
      <w:r>
        <w:t xml:space="preserve">E-Service. Situación SOA Actual del FNA. Etapa I. (2022).</w:t>
      </w:r>
    </w:p>
    <w:bookmarkEnd w:id="66"/>
    <w:bookmarkStart w:id="67" w:name="refs"/>
    <w:p>
      <w:pPr>
        <w:pStyle w:val="Bibliography"/>
      </w:pPr>
      <w:r>
        <w:t xml:space="preserve">E-Service. Arquitectura de Referencia del FNA. Etapa II. (2023).</w:t>
      </w:r>
    </w:p>
    <w:bookmarkEnd w:id="67"/>
    <w:bookmarkStart w:id="68" w:name="refs"/>
    <w:p>
      <w:pPr>
        <w:pStyle w:val="Bibliography"/>
      </w:pPr>
      <w:r>
        <w:t xml:space="preserve">E-Service. Hoja de Ruta e Iniciativas. Etapa III. (2023).</w:t>
      </w:r>
    </w:p>
    <w:bookmarkEnd w:id="68"/>
    <w:bookmarkStart w:id="69" w:name="refs"/>
    <w:p>
      <w:pPr>
        <w:pStyle w:val="Bibliography"/>
      </w:pPr>
      <w:r>
        <w:t xml:space="preserve">TOGAF 9.1. Risk Management (2023). En https://pubs.opengroup.org/architecture/togaf9-doc/arch/chap27.html</w:t>
      </w:r>
    </w:p>
    <w:bookmarkEnd w:id="69"/>
    <w:bookmarkEnd w:id="7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8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Fuente: E-Service, Fase I, 2022.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n-US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n-U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n-US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n-U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34" Target="media/rId34.jpg" /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102a45a99a65f01e71ebfefefd0a6a9c10cb3656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102a45a99a65f01e71ebfefefd0a6a9c10cb3656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Etapa 2. Ejecución Gobierno. Incremento 1</dc:title>
  <dc:creator/>
  <dc:language>en-US</dc:language>
  <cp:keywords>SOA, madurez, gobierno, FNA</cp:keywords>
  <dcterms:created xsi:type="dcterms:W3CDTF">2023-06-30T14:05:47Z</dcterms:created>
  <dcterms:modified xsi:type="dcterms:W3CDTF">2023-06-30T14:05:47Z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/>
  </property>
  <property fmtid="{D5CDD505-2E9C-101B-9397-08002B2CF9AE}" pid="3" name="bibliography">
    <vt:lpwstr/>
  </property>
  <property fmtid="{D5CDD505-2E9C-101B-9397-08002B2CF9AE}" pid="4" name="citekey_aliases">
    <vt:lpwstr/>
  </property>
  <property fmtid="{D5CDD505-2E9C-101B-9397-08002B2CF9AE}" pid="5" name="csl">
    <vt:lpwstr>build/assets/style.csl</vt:lpwstr>
  </property>
  <property fmtid="{D5CDD505-2E9C-101B-9397-08002B2CF9AE}" pid="6" name="date-meta">
    <vt:lpwstr>2023-06-30</vt:lpwstr>
  </property>
  <property fmtid="{D5CDD505-2E9C-101B-9397-08002B2CF9AE}" pid="7" name="fignos-caption-name">
    <vt:lpwstr>Imagen</vt:lpwstr>
  </property>
  <property fmtid="{D5CDD505-2E9C-101B-9397-08002B2CF9AE}" pid="8" name="fignos-cleveref">
    <vt:lpwstr>True</vt:lpwstr>
  </property>
  <property fmtid="{D5CDD505-2E9C-101B-9397-08002B2CF9AE}" pid="9" name="fignos-plus-name">
    <vt:lpwstr>Fig.</vt:lpwstr>
  </property>
  <property fmtid="{D5CDD505-2E9C-101B-9397-08002B2CF9AE}" pid="10" name="geometry">
    <vt:lpwstr/>
  </property>
  <property fmtid="{D5CDD505-2E9C-101B-9397-08002B2CF9AE}" pid="11" name="header-includes">
    <vt:lpwstr>  </vt:lpwstr>
  </property>
  <property fmtid="{D5CDD505-2E9C-101B-9397-08002B2CF9AE}" pid="12" name="link-citations">
    <vt:lpwstr>True</vt:lpwstr>
  </property>
  <property fmtid="{D5CDD505-2E9C-101B-9397-08002B2CF9AE}" pid="13" name="manubot-clear-requests-cache">
    <vt:lpwstr>False</vt:lpwstr>
  </property>
  <property fmtid="{D5CDD505-2E9C-101B-9397-08002B2CF9AE}" pid="14" name="manubot-output-bibliography">
    <vt:lpwstr>output/references.json</vt:lpwstr>
  </property>
  <property fmtid="{D5CDD505-2E9C-101B-9397-08002B2CF9AE}" pid="15" name="manubot-output-citekeys">
    <vt:lpwstr>output/citations.tsv</vt:lpwstr>
  </property>
  <property fmtid="{D5CDD505-2E9C-101B-9397-08002B2CF9AE}" pid="16" name="manubot-requests-cache-path">
    <vt:lpwstr>ci/cache/requests-cache</vt:lpwstr>
  </property>
  <property fmtid="{D5CDD505-2E9C-101B-9397-08002B2CF9AE}" pid="17" name="references">
    <vt:lpwstr/>
  </property>
  <property fmtid="{D5CDD505-2E9C-101B-9397-08002B2CF9AE}" pid="18" name="tablenos-caption-name">
    <vt:lpwstr>Tabla</vt:lpwstr>
  </property>
</Properties>
</file>