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STEF@1d585da</w:t>
        </w:r>
      </w:hyperlink>
      <w:r>
        <w:t xml:space="preserve"> </w:t>
      </w:r>
      <w:r>
        <w:t xml:space="preserve">del June 30,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1.1d585da de 30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1.1d585da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1.1d585da</w:t>
      </w:r>
    </w:p>
    <w:p>
      <w:pPr>
        <w:pStyle w:val="FirstParagraph"/>
      </w:pPr>
    </w:p>
    <w:bookmarkEnd w:id="30"/>
    <w:bookmarkStart w:id="39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8271a61c-0e3c-49d5-bc5d-3844add634e2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Modelo operativo del Comité</w:t>
      </w:r>
    </w:p>
    <w:p>
      <w:pPr>
        <w:pStyle w:val="Textoindependiente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1.1d585da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3ab5ff0c-81b2-414b-8695-e2773c143a89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5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49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de un caso existente en el FNA</w:t>
      </w:r>
      <w:r>
        <w:rPr>
          <w:rStyle w:val="Refdenotaalpie"/>
        </w:rPr>
        <w:footnoteReference w:id="48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</w:t>
      </w:r>
    </w:p>
    <w:bookmarkEnd w:id="49"/>
    <w:bookmarkEnd w:id="50"/>
    <w:bookmarkStart w:id="54" w:name="riesgos-técnicos-del-fna"/>
    <w:p>
      <w:pPr>
        <w:pStyle w:val="Ttulo1"/>
      </w:pPr>
      <w:r>
        <w:t xml:space="preserve">Riesgos Técnicos del FNA</w:t>
      </w:r>
    </w:p>
    <w:p>
      <w:pPr>
        <w:pStyle w:val="FirstParagraph"/>
      </w:pPr>
      <w:r>
        <w:t xml:space="preserve">Junto a esta complicación, que de por sí hace obligatoria la introdución de la figura del gobierno SOA en el Fondo, y que organizaciones como el OpenGroup señalan que se dan por la falta de Arquitectura Empresarial, y por consiguiente, por un débil gobierno, se encuentran otras que fueron levantadas en la Fase 1 del presente diagnóstico: agilidad limitada, complejidad e imprecisión en la trazabilidad, ocultamiento de funcionalidades (ver</w:t>
      </w:r>
      <w:r>
        <w:t xml:space="preserve"> </w:t>
      </w:r>
      <w:hyperlink r:id="rId29">
        <w:r>
          <w:rPr>
            <w:rStyle w:val="Hipervnculo"/>
          </w:rPr>
          <w:t xml:space="preserve">04b.Resumen Fase 1</w:t>
        </w:r>
      </w:hyperlink>
      <w:r>
        <w:t xml:space="preserve">).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1d585da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53" w:name="riesgos-tecnológicos-del-fna"/>
    <w:p>
      <w:pPr>
        <w:pStyle w:val="Ttulo2"/>
      </w:pPr>
      <w:r>
        <w:t xml:space="preserve">Riesgos Tecnológicos del FNA</w:t>
      </w:r>
    </w:p>
    <w:p>
      <w:pPr>
        <w:pStyle w:val="FirstParagraph"/>
      </w:pPr>
      <w:r>
        <w:t xml:space="preserve">Los riesgos tecnológicos encontrados en el diagnóstco SOA de Fase 1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), y que describimos abajo, están incorporados a las vigilancias del gobierno SOA propuesto. A la vez, estos mismos riesgos descritos a continuación deben ser agregados a la matriz de gestión actual del Fondo, y gestionados por los métodos propios con los que ya cuenta el FNA.</w:t>
      </w:r>
    </w:p>
    <w:p>
      <w:pPr>
        <w:pStyle w:val="Textoindependiente"/>
      </w:pPr>
    </w:p>
    <w:bookmarkStart w:id="52" w:name="Xb16148173b312c3417e9191702cf1588a500394"/>
    <w:p>
      <w:pPr>
        <w:pStyle w:val="Ttulo3"/>
      </w:pPr>
      <w:r>
        <w:t xml:space="preserve">Gobierno SOA y Riesgos Tecnológicos del FNA</w:t>
      </w:r>
    </w:p>
    <w:p>
      <w:pPr>
        <w:pStyle w:val="FirstParagraph"/>
      </w:pPr>
      <w:r>
        <w:t xml:space="preserve">El gobierno SOA del FNA debe buscar la capacidad para medir y gestionar (agregar a la lista de riesgos de la empresa) los riesgos que lo están afectando.</w:t>
      </w:r>
    </w:p>
    <w:p>
      <w:pPr>
        <w:numPr>
          <w:ilvl w:val="0"/>
          <w:numId w:val="1006"/>
        </w:numPr>
        <w:pStyle w:val="Compact"/>
      </w:pPr>
      <w:r>
        <w:t xml:space="preserve">R1. Riesgo de agilidad limitada (ver imagen 1)</w:t>
      </w:r>
    </w:p>
    <w:p>
      <w:pPr>
        <w:numPr>
          <w:ilvl w:val="0"/>
          <w:numId w:val="1006"/>
        </w:numPr>
        <w:pStyle w:val="Compact"/>
      </w:pPr>
      <w:r>
        <w:t xml:space="preserve">R2. Riesgo de baja orquestación SOA (ver imagen 2a y 2b)</w:t>
      </w:r>
    </w:p>
    <w:p>
      <w:pPr>
        <w:numPr>
          <w:ilvl w:val="0"/>
          <w:numId w:val="1006"/>
        </w:numPr>
        <w:pStyle w:val="Compact"/>
      </w:pPr>
      <w:r>
        <w:t xml:space="preserve">R3. Riesgo de crecimiento de dependencias entre servicios SOA</w:t>
      </w:r>
    </w:p>
    <w:p>
      <w:pPr>
        <w:numPr>
          <w:ilvl w:val="0"/>
          <w:numId w:val="1006"/>
        </w:numPr>
        <w:pStyle w:val="Compact"/>
      </w:pPr>
      <w:r>
        <w:t xml:space="preserve">R4. Riesgo de crecimiento de adaptadores particulares –opuesto al estándar– (ver imagen 3)</w:t>
      </w:r>
    </w:p>
    <w:p>
      <w:pPr>
        <w:numPr>
          <w:ilvl w:val="0"/>
          <w:numId w:val="1006"/>
        </w:numPr>
        <w:pStyle w:val="Compact"/>
      </w:pPr>
      <w:r>
        <w:t xml:space="preserve">R5. Riesgo de baja reutilización de servicios SOA</w:t>
      </w:r>
    </w:p>
    <w:p>
      <w:pPr>
        <w:numPr>
          <w:ilvl w:val="0"/>
          <w:numId w:val="1006"/>
        </w:numPr>
        <w:pStyle w:val="Compact"/>
      </w:pPr>
      <w:r>
        <w:t xml:space="preserve">R6. Riesgo de permanencia de aplicaciones silos</w:t>
      </w:r>
    </w:p>
    <w:p>
      <w:pPr>
        <w:numPr>
          <w:ilvl w:val="0"/>
          <w:numId w:val="1006"/>
        </w:numPr>
        <w:pStyle w:val="Compact"/>
      </w:pPr>
      <w:r>
        <w:t xml:space="preserve">R7. Riesgo de falta de trazabilidad para la evolución e implementación de los servicios SOA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  <w:hyperlink r:id="rId5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Riesgo no. 1 y 2. Agilidad limitada por el proliferación de la copmlejidad en los servicios SOA del Fondo.</w:t>
      </w:r>
    </w:p>
    <w:p>
      <w:pPr>
        <w:pStyle w:val="Textoindependiente"/>
      </w:pPr>
      <w:r>
        <w:rPr>
          <w:iCs/>
          <w:i/>
        </w:rPr>
        <w:t xml:space="preserve">Fuente: elaboración propia,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51">
        <w:r>
          <w:rPr>
            <w:rStyle w:val="Hipervnculo"/>
          </w:rPr>
          <w:t xml:space="preserve">Imagen 2a.</w:t>
        </w:r>
      </w:hyperlink>
      <w:r>
        <w:t xml:space="preserve"> </w:t>
      </w:r>
      <w:r>
        <w:t xml:space="preserve">Riesgo no. 2. 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de situación actual del FNA no aparecen relaciones de este con los procesos de negocio. La principal utilización del bus (ESB-IBM, en la imagen) está destinada a la integración de aplicaciones.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51">
        <w:r>
          <w:rPr>
            <w:rStyle w:val="Hipervnculo"/>
          </w:rPr>
          <w:t xml:space="preserve">Imagen 2b.</w:t>
        </w:r>
      </w:hyperlink>
      <w:r>
        <w:t xml:space="preserve"> </w:t>
      </w:r>
      <w:r>
        <w:t xml:space="preserve">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no es posible encontrar relaciones del bus con los procesos.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51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Riesgo no. 4 y 5. Caso de CRM del FNA. Le afecta el riesgo de estándarización en la interoperabilidad, aumenta la cantidad de adaptadores particulares.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bookmarkEnd w:id="52"/>
    <w:bookmarkEnd w:id="53"/>
    <w:bookmarkEnd w:id="54"/>
    <w:bookmarkStart w:id="59" w:name="referencias"/>
    <w:p>
      <w:pPr>
        <w:pStyle w:val="Ttulo1"/>
      </w:pPr>
      <w:r>
        <w:t xml:space="preserve">Referencias</w:t>
      </w:r>
    </w:p>
    <w:bookmarkStart w:id="55" w:name="refs"/>
    <w:p>
      <w:pPr>
        <w:pStyle w:val="Bibliography"/>
      </w:pPr>
      <w:r>
        <w:t xml:space="preserve">E-Service. Situación SOA Actual del FNA. Etapa I. (2022).</w:t>
      </w:r>
    </w:p>
    <w:bookmarkEnd w:id="55"/>
    <w:bookmarkStart w:id="56" w:name="refs"/>
    <w:p>
      <w:pPr>
        <w:pStyle w:val="Bibliography"/>
      </w:pPr>
      <w:r>
        <w:t xml:space="preserve">E-Service. Arquitectura de Referencia del FNA. Etapa II. (2023).</w:t>
      </w:r>
    </w:p>
    <w:bookmarkEnd w:id="56"/>
    <w:bookmarkStart w:id="57" w:name="refs"/>
    <w:p>
      <w:pPr>
        <w:pStyle w:val="Bibliography"/>
      </w:pPr>
      <w:r>
        <w:t xml:space="preserve">E-Service. Hoja de Ruta e Iniciativas. Etapa III. (2023).</w:t>
      </w:r>
    </w:p>
    <w:bookmarkEnd w:id="57"/>
    <w:bookmarkStart w:id="58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8"/>
    <w:bookmarkEnd w:id="5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Fuente: E-Service, Fase I,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51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1d585da34af8c6bbe89aef574fd5a195fcdd205e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1d585da34af8c6bbe89aef574fd5a195fcdd205e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2023-06-30T12:39:42Z</dcterms:created>
  <dcterms:modified xsi:type="dcterms:W3CDTF">2023-06-30T12:39:42Z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2023-06-30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