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6.png" ContentType="image/png"/>
  <Override PartName="/word/media/rId123.png" ContentType="image/png"/>
  <Override PartName="/word/media/rId117.png" ContentType="image/png"/>
  <Override PartName="/word/media/rId64.png" ContentType="image/png"/>
  <Override PartName="/word/media/rId50.png" ContentType="image/png"/>
  <Override PartName="/word/media/rId45.png" ContentType="image/png"/>
  <Override PartName="/word/media/rId120.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1.png" ContentType="image/png"/>
  <Override PartName="/word/media/rId144.png" ContentType="image/png"/>
  <Override PartName="/word/media/rId153.png" ContentType="image/png"/>
  <Override PartName="/word/media/rId148.png" ContentType="image/png"/>
  <Override PartName="/word/media/rId136.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STEF@37f9939</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1.37f9939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1.37f9939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1.37f9939</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d0b6e99d-63be-49a3-b1e0-a26291d42eb6"/>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1.37f9939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66fb0417-55e4-4f8d-8179-1b598fbcd6c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1.37f9939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evaluación-basda-en-escenarios-asam"/>
    <w:p>
      <w:pPr>
        <w:pStyle w:val="Ttulo1"/>
      </w:pPr>
      <w:r>
        <w:t xml:space="preserve">Evaluación Basda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e21aa5d4-a9b1-4f5f-98ee-fb6b26b72b9f"/>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7e3a6b8c-565a-446a-861a-32c53915991a"/>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b2d4a92d-2870-4c41-b5b2-f4e78e019fde"/>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ea142435-f314-4969-b74f-6e9f663e1d68"/>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8c690303-c26b-4ef4-92bc-55fe4471d2c2"/>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2799fdbd-db0d-46a2-b9e9-73212cf01182"/>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1.37f9939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6"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4"/>
    <w:bookmarkStart w:id="95"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5"/>
    <w:bookmarkStart w:id="96"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6"/>
    <w:bookmarkStart w:id="97"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7"/>
    <w:bookmarkStart w:id="98"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8"/>
    <w:bookmarkStart w:id="99"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99"/>
    <w:bookmarkStart w:id="100"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0"/>
    <w:bookmarkStart w:id="101"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1"/>
    <w:bookmarkStart w:id="102"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2"/>
    <w:bookmarkStart w:id="103"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3"/>
    <w:bookmarkStart w:id="104"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4"/>
    <w:bookmarkStart w:id="105"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1.37f9939</w:t>
      </w:r>
    </w:p>
    <w:p>
      <w:pPr>
        <w:pStyle w:val="FirstParagraph"/>
      </w:pPr>
    </w:p>
    <w:bookmarkEnd w:id="105"/>
    <w:bookmarkEnd w:id="106"/>
    <w:bookmarkStart w:id="114"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7"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7"/>
    <w:bookmarkStart w:id="108"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8"/>
    <w:bookmarkStart w:id="109"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09"/>
    <w:bookmarkStart w:id="113" w:name="modelo-de-implementación-del-pry01-1"/>
    <w:p>
      <w:pPr>
        <w:pStyle w:val="Ttulo2"/>
      </w:pPr>
      <w:r>
        <w:t xml:space="preserve">Modelo de Implementación del PRY01</w:t>
      </w:r>
    </w:p>
    <w:bookmarkStart w:id="0" w:name="fig:3898ab88-fdb6-4bc5-8cb7-bab32f719490"/>
    <w:p>
      <w:pPr>
        <w:pStyle w:val="CaptionedFigure"/>
      </w:pPr>
      <w:bookmarkStart w:id="112" w:name="fig:"/>
      <w:r>
        <w:drawing>
          <wp:inline>
            <wp:extent cx="5600700" cy="4499951"/>
            <wp:effectExtent b="0" l="0" r="0" t="0"/>
            <wp:docPr descr="Imagen 9: Plan de Implementación del Proyecto Gobierno SOA del FNA (PRY01), 2023. Junio 2023 a julio 2023" title="" id="110" name="Picture"/>
            <a:graphic>
              <a:graphicData uri="http://schemas.openxmlformats.org/drawingml/2006/picture">
                <pic:pic>
                  <pic:nvPicPr>
                    <pic:cNvPr descr="images/pry1gobierno.jpg" id="111"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2"/>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1.37f9939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3"/>
    <w:bookmarkEnd w:id="114"/>
    <w:bookmarkStart w:id="115"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5"/>
    <w:bookmarkStart w:id="130"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6"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6"/>
    <w:bookmarkStart w:id="129"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8" name="Picture"/>
            <a:graphic>
              <a:graphicData uri="http://schemas.openxmlformats.org/drawingml/2006/picture">
                <pic:pic>
                  <pic:nvPicPr>
                    <pic:cNvPr descr="images/ESB-IBM.png" id="119" name="Picture"/>
                    <pic:cNvPicPr>
                      <a:picLocks noChangeArrowheads="1" noChangeAspect="1"/>
                    </pic:cNvPicPr>
                  </pic:nvPicPr>
                  <pic:blipFill>
                    <a:blip r:embed="rId117"/>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1" name="Picture"/>
            <a:graphic>
              <a:graphicData uri="http://schemas.openxmlformats.org/drawingml/2006/picture">
                <pic:pic>
                  <pic:nvPicPr>
                    <pic:cNvPr descr="images/esb-procesos.png" id="122" name="Picture"/>
                    <pic:cNvPicPr>
                      <a:picLocks noChangeArrowheads="1" noChangeAspect="1"/>
                    </pic:cNvPicPr>
                  </pic:nvPicPr>
                  <pic:blipFill>
                    <a:blip r:embed="rId120"/>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4" name="Picture"/>
            <a:graphic>
              <a:graphicData uri="http://schemas.openxmlformats.org/drawingml/2006/picture">
                <pic:pic>
                  <pic:nvPicPr>
                    <pic:cNvPr descr="images/ESB-IBM-2.png" id="125" name="Picture"/>
                    <pic:cNvPicPr>
                      <a:picLocks noChangeArrowheads="1" noChangeAspect="1"/>
                    </pic:cNvPicPr>
                  </pic:nvPicPr>
                  <pic:blipFill>
                    <a:blip r:embed="rId123"/>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7" name="Picture"/>
            <a:graphic>
              <a:graphicData uri="http://schemas.openxmlformats.org/drawingml/2006/picture">
                <pic:pic>
                  <pic:nvPicPr>
                    <pic:cNvPr descr="images/CRM.png" id="128" name="Picture"/>
                    <pic:cNvPicPr>
                      <a:picLocks noChangeArrowheads="1" noChangeAspect="1"/>
                    </pic:cNvPicPr>
                  </pic:nvPicPr>
                  <pic:blipFill>
                    <a:blip r:embed="rId126"/>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37f9939</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29"/>
    <w:bookmarkEnd w:id="130"/>
    <w:bookmarkStart w:id="141"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5"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69230b5b-0e58-433a-b0f0-07243307c9ce"/>
    <w:p>
      <w:pPr>
        <w:pStyle w:val="CaptionedFigure"/>
      </w:pPr>
      <w:bookmarkStart w:id="134" w:name="fig:"/>
      <w:r>
        <w:drawing>
          <wp:inline>
            <wp:extent cx="5600700" cy="3976532"/>
            <wp:effectExtent b="0" l="0" r="0" t="0"/>
            <wp:docPr descr="Imagen 10: Modelo de gobierno SOA del FNA, versión 0.6. Incorpora las actividades de gestión de riesgo, y las capaciddes del repositorio de arquitectura." title="" id="132" name="Picture"/>
            <a:graphic>
              <a:graphicData uri="http://schemas.openxmlformats.org/drawingml/2006/picture">
                <pic:pic>
                  <pic:nvPicPr>
                    <pic:cNvPr descr="images/modelogob06.png" id="133" name="Picture"/>
                    <pic:cNvPicPr>
                      <a:picLocks noChangeArrowheads="1" noChangeAspect="1"/>
                    </pic:cNvPicPr>
                  </pic:nvPicPr>
                  <pic:blipFill>
                    <a:blip r:embed="rId131"/>
                    <a:stretch>
                      <a:fillRect/>
                    </a:stretch>
                  </pic:blipFill>
                  <pic:spPr bwMode="auto">
                    <a:xfrm>
                      <a:off x="0" y="0"/>
                      <a:ext cx="5600700" cy="3976532"/>
                    </a:xfrm>
                    <a:prstGeom prst="rect">
                      <a:avLst/>
                    </a:prstGeom>
                    <a:noFill/>
                    <a:ln w="9525">
                      <a:noFill/>
                      <a:headEnd/>
                      <a:tailEnd/>
                    </a:ln>
                  </pic:spPr>
                </pic:pic>
              </a:graphicData>
            </a:graphic>
          </wp:inline>
        </w:drawing>
      </w:r>
      <w:bookmarkEnd w:id="134"/>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5"/>
    <w:bookmarkStart w:id="140"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3ecc41a-a139-47bc-b1db-ed84f2552ea6"/>
    <w:p>
      <w:pPr>
        <w:pStyle w:val="CaptionedFigure"/>
      </w:pPr>
      <w:bookmarkStart w:id="139" w:name="fig:"/>
      <w:r>
        <w:drawing>
          <wp:inline>
            <wp:extent cx="5600700" cy="5260757"/>
            <wp:effectExtent b="0" l="0" r="0" t="0"/>
            <wp:docPr descr="Imagen 11: Modelo de Gobierno SOA. Adaptación FNA. Recursos y Herramientas de Gestión del Riesgo de Arquitectura del FNA." title="" id="137" name="Picture"/>
            <a:graphic>
              <a:graphicData uri="http://schemas.openxmlformats.org/drawingml/2006/picture">
                <pic:pic>
                  <pic:nvPicPr>
                    <pic:cNvPr descr="images/oficinamodelo06.png" id="138" name="Picture"/>
                    <pic:cNvPicPr>
                      <a:picLocks noChangeArrowheads="1" noChangeAspect="1"/>
                    </pic:cNvPicPr>
                  </pic:nvPicPr>
                  <pic:blipFill>
                    <a:blip r:embed="rId136"/>
                    <a:stretch>
                      <a:fillRect/>
                    </a:stretch>
                  </pic:blipFill>
                  <pic:spPr bwMode="auto">
                    <a:xfrm>
                      <a:off x="0" y="0"/>
                      <a:ext cx="5600700" cy="5260757"/>
                    </a:xfrm>
                    <a:prstGeom prst="rect">
                      <a:avLst/>
                    </a:prstGeom>
                    <a:noFill/>
                    <a:ln w="9525">
                      <a:noFill/>
                      <a:headEnd/>
                      <a:tailEnd/>
                    </a:ln>
                  </pic:spPr>
                </pic:pic>
              </a:graphicData>
            </a:graphic>
          </wp:inline>
        </w:drawing>
      </w:r>
      <w:bookmarkEnd w:id="139"/>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1.37f9939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0"/>
    <w:bookmarkEnd w:id="141"/>
    <w:bookmarkStart w:id="158"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3"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2"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2"/>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3"/>
    <w:bookmarkStart w:id="152"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fcae64c7-aedc-402a-9b61-ec1f10f31527"/>
    <w:p>
      <w:pPr>
        <w:pStyle w:val="CaptionedFigure"/>
      </w:pPr>
      <w:bookmarkStart w:id="147" w:name="fig:"/>
      <w:r>
        <w:drawing>
          <wp:inline>
            <wp:extent cx="5600700" cy="5139172"/>
            <wp:effectExtent b="0" l="0" r="0" t="0"/>
            <wp:docPr descr="Imagen 12: Modelo de ejemplo para la representación de los artefactos, recursos, actividades y activos (software) afectados." title="" id="145" name="Picture"/>
            <a:graphic>
              <a:graphicData uri="http://schemas.openxmlformats.org/drawingml/2006/picture">
                <pic:pic>
                  <pic:nvPicPr>
                    <pic:cNvPr descr="images/modeloriesgo.png" id="146" name="Picture"/>
                    <pic:cNvPicPr>
                      <a:picLocks noChangeArrowheads="1" noChangeAspect="1"/>
                    </pic:cNvPicPr>
                  </pic:nvPicPr>
                  <pic:blipFill>
                    <a:blip r:embed="rId144"/>
                    <a:stretch>
                      <a:fillRect/>
                    </a:stretch>
                  </pic:blipFill>
                  <pic:spPr bwMode="auto">
                    <a:xfrm>
                      <a:off x="0" y="0"/>
                      <a:ext cx="5600700" cy="5139172"/>
                    </a:xfrm>
                    <a:prstGeom prst="rect">
                      <a:avLst/>
                    </a:prstGeom>
                    <a:noFill/>
                    <a:ln w="9525">
                      <a:noFill/>
                      <a:headEnd/>
                      <a:tailEnd/>
                    </a:ln>
                  </pic:spPr>
                </pic:pic>
              </a:graphicData>
            </a:graphic>
          </wp:inline>
        </w:drawing>
      </w:r>
      <w:bookmarkEnd w:id="147"/>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ec53532-a99d-40b6-9ec0-ca0d1f1f943f"/>
    <w:p>
      <w:pPr>
        <w:pStyle w:val="CaptionedFigure"/>
      </w:pPr>
      <w:bookmarkStart w:id="151" w:name="fig:"/>
      <w:r>
        <w:drawing>
          <wp:inline>
            <wp:extent cx="5600700" cy="5239173"/>
            <wp:effectExtent b="0" l="0" r="0" t="0"/>
            <wp:docPr descr="Imagen 13: Relación de los conceptos del modelo de riesgo con las preguntas de control del tratamiento de riesgos de arquitectura del FNA." title="" id="149" name="Picture"/>
            <a:graphic>
              <a:graphicData uri="http://schemas.openxmlformats.org/drawingml/2006/picture">
                <pic:pic>
                  <pic:nvPicPr>
                    <pic:cNvPr descr="images/modeloriesgo1a.png" id="150" name="Picture"/>
                    <pic:cNvPicPr>
                      <a:picLocks noChangeArrowheads="1" noChangeAspect="1"/>
                    </pic:cNvPicPr>
                  </pic:nvPicPr>
                  <pic:blipFill>
                    <a:blip r:embed="rId148"/>
                    <a:stretch>
                      <a:fillRect/>
                    </a:stretch>
                  </pic:blipFill>
                  <pic:spPr bwMode="auto">
                    <a:xfrm>
                      <a:off x="0" y="0"/>
                      <a:ext cx="5600700" cy="5239173"/>
                    </a:xfrm>
                    <a:prstGeom prst="rect">
                      <a:avLst/>
                    </a:prstGeom>
                    <a:noFill/>
                    <a:ln w="9525">
                      <a:noFill/>
                      <a:headEnd/>
                      <a:tailEnd/>
                    </a:ln>
                  </pic:spPr>
                </pic:pic>
              </a:graphicData>
            </a:graphic>
          </wp:inline>
        </w:drawing>
      </w:r>
      <w:bookmarkEnd w:id="151"/>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2"/>
    <w:bookmarkStart w:id="157"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fc59dc30-7c7b-4bd5-9a2e-308aa7e8f3a4"/>
    <w:p>
      <w:pPr>
        <w:pStyle w:val="CaptionedFigure"/>
      </w:pPr>
      <w:bookmarkStart w:id="156" w:name="fig:"/>
      <w:r>
        <w:drawing>
          <wp:inline>
            <wp:extent cx="5600700" cy="6275174"/>
            <wp:effectExtent b="0" l="0" r="0" t="0"/>
            <wp:docPr descr="Imagen 14: Modelo de ejemplo para la representación de los artefactos, recursos, actividades y activos (software) afectados." title="" id="154" name="Picture"/>
            <a:graphic>
              <a:graphicData uri="http://schemas.openxmlformats.org/drawingml/2006/picture">
                <pic:pic>
                  <pic:nvPicPr>
                    <pic:cNvPr descr="images/modeloriesgo001.png" id="155" name="Picture"/>
                    <pic:cNvPicPr>
                      <a:picLocks noChangeArrowheads="1" noChangeAspect="1"/>
                    </pic:cNvPicPr>
                  </pic:nvPicPr>
                  <pic:blipFill>
                    <a:blip r:embed="rId153"/>
                    <a:stretch>
                      <a:fillRect/>
                    </a:stretch>
                  </pic:blipFill>
                  <pic:spPr bwMode="auto">
                    <a:xfrm>
                      <a:off x="0" y="0"/>
                      <a:ext cx="5600700" cy="6275174"/>
                    </a:xfrm>
                    <a:prstGeom prst="rect">
                      <a:avLst/>
                    </a:prstGeom>
                    <a:noFill/>
                    <a:ln w="9525">
                      <a:noFill/>
                      <a:headEnd/>
                      <a:tailEnd/>
                    </a:ln>
                  </pic:spPr>
                </pic:pic>
              </a:graphicData>
            </a:graphic>
          </wp:inline>
        </w:drawing>
      </w:r>
      <w:bookmarkEnd w:id="156"/>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7"/>
    <w:bookmarkEnd w:id="158"/>
    <w:bookmarkStart w:id="161" w:name="referencias"/>
    <w:p>
      <w:pPr>
        <w:pStyle w:val="Ttulo1"/>
      </w:pPr>
      <w:r>
        <w:t xml:space="preserve">Referencias</w:t>
      </w:r>
    </w:p>
    <w:bookmarkStart w:id="159"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59"/>
    <w:bookmarkStart w:id="160" w:name="refs"/>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0" Target="media/rId120.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1" Target="media/rId131.png" /><Relationship Type="http://schemas.openxmlformats.org/officeDocument/2006/relationships/image" Id="rId144" Target="media/rId144.png" /><Relationship Type="http://schemas.openxmlformats.org/officeDocument/2006/relationships/image" Id="rId153" Target="media/rId153.png" /><Relationship Type="http://schemas.openxmlformats.org/officeDocument/2006/relationships/image" Id="rId148" Target="media/rId148.png" /><Relationship Type="http://schemas.openxmlformats.org/officeDocument/2006/relationships/image" Id="rId136" Target="media/rId136.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7f99394d052116e54f14b1fbe52feddb6e90690/"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7f99394d052116e54f14b1fbe52feddb6e90690/"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2023-07-04T17:43:20Z</dcterms:created>
  <dcterms:modified xsi:type="dcterms:W3CDTF">2023-07-04T17:43:20Z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