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62.png" ContentType="image/png"/>
  <Override PartName="/word/media/rId59.png" ContentType="image/png"/>
  <Override PartName="/word/media/rId53.png" ContentType="image/png"/>
  <Override PartName="/word/media/rId56.png" ContentType="image/png"/>
  <Override PartName="/word/media/rId67.png" ContentType="image/png"/>
  <Override PartName="/word/media/rId80.png" ContentType="image/png"/>
  <Override PartName="/word/media/rId89.png" ContentType="image/png"/>
  <Override PartName="/word/media/rId84.png" ContentType="image/png"/>
  <Override PartName="/word/media/rId7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STEF@6f47d6c</w:t>
        </w:r>
      </w:hyperlink>
      <w:r>
        <w:t xml:space="preserve"> </w:t>
      </w:r>
      <w:r>
        <w:t xml:space="preserve">del July 3, 2023.</w:t>
      </w:r>
      <w:r>
        <w:t xml:space="preserve"> </w:t>
      </w:r>
    </w:p>
    <w:p>
      <w:pPr>
        <w:pStyle w:val="Textoindependiente"/>
      </w:pPr>
      <w:r>
        <w:t xml:space="preserve">   </w:t>
      </w:r>
      <w:r>
        <w:rPr>
          <w:bCs/>
          <w:b/>
        </w:rPr>
        <w:t xml:space="preserve">Versión</w:t>
      </w:r>
      <w:r>
        <w:t xml:space="preserve"> </w:t>
      </w:r>
      <w:r>
        <w:t xml:space="preserve">del producto 1.6f47d6c de 03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1.6f47d6c del 03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1.6f47d6c</w:t>
      </w:r>
    </w:p>
    <w:p>
      <w:pPr>
        <w:pStyle w:val="FirstParagraph"/>
      </w:pPr>
    </w:p>
    <w:bookmarkEnd w:id="31"/>
    <w:bookmarkStart w:id="40"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Aplicaciones de soporte a la Oficina de Arquitecura (Pr02) y a la Vicepresidencia de Tecnología del FNA</w:t>
      </w:r>
    </w:p>
    <w:p>
      <w:pPr>
        <w:numPr>
          <w:ilvl w:val="0"/>
          <w:numId w:val="1002"/>
        </w:numPr>
        <w:pStyle w:val="Compact"/>
      </w:pPr>
      <w:r>
        <w:t xml:space="preserve">Matriz de responsabilidades y procedimiento del Comité de Arquitectura</w:t>
      </w:r>
    </w:p>
    <w:p>
      <w:pPr>
        <w:numPr>
          <w:ilvl w:val="0"/>
          <w:numId w:val="1002"/>
        </w:numPr>
        <w:pStyle w:val="Compact"/>
      </w:pPr>
      <w:r>
        <w:t xml:space="preserve">Métodos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39" w:name="modelo-de-implementación-del-pry01"/>
    <w:p>
      <w:pPr>
        <w:pStyle w:val="Ttulo2"/>
      </w:pPr>
      <w:r>
        <w:t xml:space="preserve">Modelo de Implementación del PRY01</w:t>
      </w:r>
    </w:p>
    <w:bookmarkStart w:id="0" w:name="fig:d21e189a-dc39-4a10-ad59-76ef48fd468c"/>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pPr>
        <w:pStyle w:val="Textoindependiente"/>
      </w:pPr>
      <w:r>
        <w:t xml:space="preserve">Modelo operativo del Comité</w:t>
      </w:r>
    </w:p>
    <w:p>
      <w:pPr>
        <w:pStyle w:val="Textoindependiente"/>
      </w:pPr>
      <w:r>
        <w:t xml:space="preserve">La evaluación de arquitectura queda ordenada en 3 aspectos:</w:t>
      </w:r>
      <w:r>
        <w:t xml:space="preserve"> </w:t>
      </w:r>
      <w:r>
        <w:t xml:space="preserve">1. Riesgos técnicos</w:t>
      </w:r>
      <w:r>
        <w:t xml:space="preserve"> </w:t>
      </w:r>
      <w:r>
        <w:t xml:space="preserve">2. Puntos de Sensibilidad</w:t>
      </w:r>
      <w:r>
        <w:t xml:space="preserve"> </w:t>
      </w:r>
      <w:r>
        <w:t xml:space="preserve">3. Compensaciones</w:t>
      </w:r>
    </w:p>
    <w:p>
      <w:pPr>
        <w:pStyle w:val="Textoindependiente"/>
      </w:pPr>
      <w:r>
        <w:t xml:space="preserve">Mecánica</w:t>
      </w:r>
      <w:r>
        <w:t xml:space="preserve"> </w:t>
      </w:r>
      <w:r>
        <w:t xml:space="preserve">1. Elaboración de escenarios (Arq.)</w:t>
      </w:r>
      <w:r>
        <w:t xml:space="preserve"> </w:t>
      </w:r>
      <w:r>
        <w:t xml:space="preserve">2. Evaluación de escenarios (Eval.)</w:t>
      </w:r>
      <w:r>
        <w:t xml:space="preserve"> </w:t>
      </w:r>
      <w:r>
        <w:t xml:space="preserve">3. Calificación del árbol utilidad (Arq.)</w:t>
      </w:r>
    </w:p>
    <w:p>
      <w:pPr>
        <w:pStyle w:val="Textoindependiente"/>
      </w:pPr>
      <w:r>
        <w:t xml:space="preserve">Escenarios</w:t>
      </w:r>
      <w:r>
        <w:t xml:space="preserve"> </w:t>
      </w:r>
      <w:r>
        <w:t xml:space="preserve">* operaciones más usadas en el negocio: cuáles son?</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03 Jul 2023</w:t>
      </w:r>
    </w:p>
    <w:p>
      <w:pPr>
        <w:pStyle w:val="Textodebloque"/>
      </w:pPr>
      <w:r>
        <w:rPr>
          <w:bCs/>
          <w:b/>
        </w:rPr>
        <w:t xml:space="preserve">Versión</w:t>
      </w:r>
      <w:r>
        <w:t xml:space="preserve"> </w:t>
      </w:r>
      <w:r>
        <w:t xml:space="preserve">1.6f47d6c</w:t>
      </w:r>
    </w:p>
    <w:p>
      <w:pPr>
        <w:pStyle w:val="FirstParagraph"/>
      </w:pPr>
    </w:p>
    <w:bookmarkEnd w:id="39"/>
    <w:bookmarkEnd w:id="40"/>
    <w:bookmarkStart w:id="5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41"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41"/>
    <w:bookmarkStart w:id="42" w:name="contenidos-2"/>
    <w:p>
      <w:pPr>
        <w:pStyle w:val="Ttulo2"/>
      </w:pPr>
      <w:r>
        <w:t xml:space="preserve">Contenidos</w:t>
      </w:r>
    </w:p>
    <w:p>
      <w:pPr>
        <w:numPr>
          <w:ilvl w:val="0"/>
          <w:numId w:val="1004"/>
        </w:numPr>
        <w:pStyle w:val="Compact"/>
      </w:pPr>
      <w:r>
        <w:t xml:space="preserve">Definición e identificación del riesgo técnico del FNA (E-Service, Fase I)</w:t>
      </w:r>
    </w:p>
    <w:p>
      <w:pPr>
        <w:numPr>
          <w:ilvl w:val="0"/>
          <w:numId w:val="1004"/>
        </w:numPr>
        <w:pStyle w:val="Compact"/>
      </w:pPr>
      <w:r>
        <w:t xml:space="preserve">Métodos para el tratamiento de los riesgos técnicos E-Service Fase I</w:t>
      </w:r>
    </w:p>
    <w:p>
      <w:pPr>
        <w:numPr>
          <w:ilvl w:val="0"/>
          <w:numId w:val="1004"/>
        </w:numPr>
        <w:pStyle w:val="Compact"/>
      </w:pPr>
      <w:r>
        <w:t xml:space="preserve">Modelamiento del riesgo técnico del FNA (Oficina de Arquitectura FNA)</w:t>
      </w:r>
    </w:p>
    <w:p>
      <w:pPr>
        <w:pStyle w:val="FirstParagraph"/>
      </w:pPr>
    </w:p>
    <w:bookmarkEnd w:id="42"/>
    <w:bookmarkStart w:id="43" w:name="criterios-de-aceptación-1"/>
    <w:p>
      <w:pPr>
        <w:pStyle w:val="Ttulo2"/>
      </w:pPr>
      <w:r>
        <w:t xml:space="preserve">Criterios de Aceptación</w:t>
      </w:r>
    </w:p>
    <w:p>
      <w:pPr>
        <w:numPr>
          <w:ilvl w:val="0"/>
          <w:numId w:val="1005"/>
        </w:numPr>
        <w:pStyle w:val="Compact"/>
      </w:pPr>
      <w:r>
        <w:t xml:space="preserve">Procedimientos y técnicas de modelamiento para el tratamiento de los riesgos técnicos del FNA (E-Service, 2022)</w:t>
      </w:r>
    </w:p>
    <w:p>
      <w:pPr>
        <w:numPr>
          <w:ilvl w:val="0"/>
          <w:numId w:val="1005"/>
        </w:numPr>
        <w:pStyle w:val="Compact"/>
      </w:pPr>
      <w:r>
        <w:t xml:space="preserve">Matriz de riesgos técnicos e impactos del FNA</w:t>
      </w:r>
    </w:p>
    <w:p>
      <w:pPr>
        <w:pStyle w:val="FirstParagraph"/>
      </w:pPr>
    </w:p>
    <w:bookmarkEnd w:id="43"/>
    <w:bookmarkStart w:id="49" w:name="modelo-de-implementación-del-pry01-1"/>
    <w:p>
      <w:pPr>
        <w:pStyle w:val="Ttulo2"/>
      </w:pPr>
      <w:r>
        <w:t xml:space="preserve">Modelo de Implementación del PRY01</w:t>
      </w:r>
    </w:p>
    <w:bookmarkStart w:id="0" w:name="fig:c199a769-625d-432a-a61e-5c4dfbff9eb1"/>
    <w:p>
      <w:pPr>
        <w:pStyle w:val="CaptionedFigure"/>
      </w:pPr>
      <w:bookmarkStart w:id="46" w:name="fig:"/>
      <w:r>
        <w:drawing>
          <wp:inline>
            <wp:extent cx="5600700" cy="4499951"/>
            <wp:effectExtent b="0" l="0" r="0" t="0"/>
            <wp:docPr descr="Imagen 2: Plan de Implementación del Proyecto Gobierno SOA del FNA (PRY01), 2023. Junio 2023 a julio 2023" title="" id="44" name="Picture"/>
            <a:graphic>
              <a:graphicData uri="http://schemas.openxmlformats.org/drawingml/2006/picture">
                <pic:pic>
                  <pic:nvPicPr>
                    <pic:cNvPr descr="images/pry1gobierno.jpg" id="45"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46"/>
    </w:p>
    <w:p>
      <w:pPr>
        <w:pStyle w:val="ImageCaption"/>
      </w:pPr>
      <w:r>
        <w:t xml:space="preserve">Imagen 2: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1.6f47d6c</w:t>
            </w:r>
            <w:r>
              <w:t xml:space="preserve"> </w:t>
            </w:r>
            <w:r>
              <w:t xml:space="preserve">del 03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49"/>
    <w:bookmarkEnd w:id="50"/>
    <w:bookmarkStart w:id="5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51"/>
    <w:bookmarkStart w:id="6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5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6"/>
        </w:numPr>
        <w:pStyle w:val="Compact"/>
      </w:pPr>
      <w:r>
        <w:t xml:space="preserve">Análisis de Madurez SOA del FNA (OSIMM, Open Group; E-Service, Fase I, 2022)</w:t>
      </w:r>
    </w:p>
    <w:p>
      <w:pPr>
        <w:numPr>
          <w:ilvl w:val="0"/>
          <w:numId w:val="1006"/>
        </w:numPr>
        <w:pStyle w:val="Compact"/>
      </w:pPr>
      <w:r>
        <w:t xml:space="preserve">Análisis de Fortalezas/Debilidades SOA del FNA (SOA Patterns, Enterprise Integration Patterns; E-Service, Fase I, 2022)</w:t>
      </w:r>
    </w:p>
    <w:p>
      <w:pPr>
        <w:numPr>
          <w:ilvl w:val="0"/>
          <w:numId w:val="1006"/>
        </w:numPr>
        <w:pStyle w:val="Compact"/>
      </w:pPr>
      <w:r>
        <w:t xml:space="preserve">Oportunidades Relevantes SOA del FNA (BPTrends; E-Service, Fase I, 2022)</w:t>
      </w:r>
    </w:p>
    <w:p>
      <w:pPr>
        <w:numPr>
          <w:ilvl w:val="0"/>
          <w:numId w:val="1006"/>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7"/>
        </w:numPr>
        <w:pStyle w:val="Compact"/>
      </w:pPr>
      <w:r>
        <w:t xml:space="preserve">R1. Riesgo de agilidad limitada (ver imagen 1)</w:t>
      </w:r>
    </w:p>
    <w:p>
      <w:pPr>
        <w:numPr>
          <w:ilvl w:val="0"/>
          <w:numId w:val="1007"/>
        </w:numPr>
        <w:pStyle w:val="Compact"/>
      </w:pPr>
      <w:r>
        <w:t xml:space="preserve">R2. Riesgo de baja orquestación SOA (ver imagen 2a y 2b)</w:t>
      </w:r>
    </w:p>
    <w:p>
      <w:pPr>
        <w:numPr>
          <w:ilvl w:val="0"/>
          <w:numId w:val="1007"/>
        </w:numPr>
        <w:pStyle w:val="Compact"/>
      </w:pPr>
      <w:r>
        <w:t xml:space="preserve">R3. Riesgo de crecimiento de dependencias entre servicios SOA</w:t>
      </w:r>
    </w:p>
    <w:p>
      <w:pPr>
        <w:numPr>
          <w:ilvl w:val="0"/>
          <w:numId w:val="1007"/>
        </w:numPr>
        <w:pStyle w:val="Compact"/>
      </w:pPr>
      <w:r>
        <w:t xml:space="preserve">R4. Riesgo de crecimiento de adaptadores particulares –opuesto al estándar</w:t>
      </w:r>
    </w:p>
    <w:p>
      <w:pPr>
        <w:numPr>
          <w:ilvl w:val="0"/>
          <w:numId w:val="1007"/>
        </w:numPr>
        <w:pStyle w:val="Compact"/>
      </w:pPr>
      <w:r>
        <w:t xml:space="preserve">R5. Riesgo de baja reutilización de servicios SOA</w:t>
      </w:r>
    </w:p>
    <w:p>
      <w:pPr>
        <w:numPr>
          <w:ilvl w:val="0"/>
          <w:numId w:val="1007"/>
        </w:numPr>
        <w:pStyle w:val="Compact"/>
      </w:pPr>
      <w:r>
        <w:t xml:space="preserve">R6. Riesgo de permanencia de silos (islas) de servicios SOA y aplicaciones</w:t>
      </w:r>
    </w:p>
    <w:p>
      <w:pPr>
        <w:numPr>
          <w:ilvl w:val="0"/>
          <w:numId w:val="1007"/>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52"/>
    <w:bookmarkStart w:id="6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54" name="Picture"/>
            <a:graphic>
              <a:graphicData uri="http://schemas.openxmlformats.org/drawingml/2006/picture">
                <pic:pic>
                  <pic:nvPicPr>
                    <pic:cNvPr descr="images/ESB-IBM.png" id="55" name="Picture"/>
                    <pic:cNvPicPr>
                      <a:picLocks noChangeArrowheads="1" noChangeAspect="1"/>
                    </pic:cNvPicPr>
                  </pic:nvPicPr>
                  <pic:blipFill>
                    <a:blip r:embed="rId5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57" name="Picture"/>
            <a:graphic>
              <a:graphicData uri="http://schemas.openxmlformats.org/drawingml/2006/picture">
                <pic:pic>
                  <pic:nvPicPr>
                    <pic:cNvPr descr="images/esb-procesos.png" id="58" name="Picture"/>
                    <pic:cNvPicPr>
                      <a:picLocks noChangeArrowheads="1" noChangeAspect="1"/>
                    </pic:cNvPicPr>
                  </pic:nvPicPr>
                  <pic:blipFill>
                    <a:blip r:embed="rId5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60" name="Picture"/>
            <a:graphic>
              <a:graphicData uri="http://schemas.openxmlformats.org/drawingml/2006/picture">
                <pic:pic>
                  <pic:nvPicPr>
                    <pic:cNvPr descr="images/ESB-IBM-2.png" id="61" name="Picture"/>
                    <pic:cNvPicPr>
                      <a:picLocks noChangeArrowheads="1" noChangeAspect="1"/>
                    </pic:cNvPicPr>
                  </pic:nvPicPr>
                  <pic:blipFill>
                    <a:blip r:embed="rId5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63" name="Picture"/>
            <a:graphic>
              <a:graphicData uri="http://schemas.openxmlformats.org/drawingml/2006/picture">
                <pic:pic>
                  <pic:nvPicPr>
                    <pic:cNvPr descr="images/CRM.png" id="64" name="Picture"/>
                    <pic:cNvPicPr>
                      <a:picLocks noChangeArrowheads="1" noChangeAspect="1"/>
                    </pic:cNvPicPr>
                  </pic:nvPicPr>
                  <pic:blipFill>
                    <a:blip r:embed="rId6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6f47d6c</w:t>
            </w:r>
            <w:r>
              <w:t xml:space="preserve"> </w:t>
            </w:r>
            <w:r>
              <w:t xml:space="preserve">del 03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65"/>
    <w:bookmarkEnd w:id="66"/>
    <w:bookmarkStart w:id="7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71"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255f1fae-b1c9-47f7-943b-18f3ed2766fa"/>
    <w:p>
      <w:pPr>
        <w:pStyle w:val="CaptionedFigure"/>
      </w:pPr>
      <w:bookmarkStart w:id="70" w:name="fig:"/>
      <w:r>
        <w:drawing>
          <wp:inline>
            <wp:extent cx="5600700" cy="3976532"/>
            <wp:effectExtent b="0" l="0" r="0" t="0"/>
            <wp:docPr descr="Imagen 3: Modelo de gobierno SOA del FNA, versión 0.6. Incorpora las actividades de gestión de riesgo, y las capaciddes del repositorio de arquitectura." title="" id="68" name="Picture"/>
            <a:graphic>
              <a:graphicData uri="http://schemas.openxmlformats.org/drawingml/2006/picture">
                <pic:pic>
                  <pic:nvPicPr>
                    <pic:cNvPr descr="images/modelogob06.png" id="69" name="Picture"/>
                    <pic:cNvPicPr>
                      <a:picLocks noChangeArrowheads="1" noChangeAspect="1"/>
                    </pic:cNvPicPr>
                  </pic:nvPicPr>
                  <pic:blipFill>
                    <a:blip r:embed="rId67"/>
                    <a:stretch>
                      <a:fillRect/>
                    </a:stretch>
                  </pic:blipFill>
                  <pic:spPr bwMode="auto">
                    <a:xfrm>
                      <a:off x="0" y="0"/>
                      <a:ext cx="5600700" cy="3976532"/>
                    </a:xfrm>
                    <a:prstGeom prst="rect">
                      <a:avLst/>
                    </a:prstGeom>
                    <a:noFill/>
                    <a:ln w="9525">
                      <a:noFill/>
                      <a:headEnd/>
                      <a:tailEnd/>
                    </a:ln>
                  </pic:spPr>
                </pic:pic>
              </a:graphicData>
            </a:graphic>
          </wp:inline>
        </w:drawing>
      </w:r>
      <w:bookmarkEnd w:id="70"/>
    </w:p>
    <w:p>
      <w:pPr>
        <w:pStyle w:val="ImageCaption"/>
      </w:pPr>
      <w:r>
        <w:t xml:space="preserve">Imagen 3: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08"/>
        </w:numPr>
        <w:pStyle w:val="Compact"/>
      </w:pPr>
      <w:r>
        <w:t xml:space="preserve">Relación Area FNA - Riesgo</w:t>
      </w:r>
    </w:p>
    <w:p>
      <w:pPr>
        <w:numPr>
          <w:ilvl w:val="0"/>
          <w:numId w:val="1008"/>
        </w:numPr>
        <w:pStyle w:val="Compact"/>
      </w:pPr>
      <w:r>
        <w:t xml:space="preserve">Valoración del riesgo</w:t>
      </w:r>
    </w:p>
    <w:p>
      <w:pPr>
        <w:numPr>
          <w:ilvl w:val="0"/>
          <w:numId w:val="1008"/>
        </w:numPr>
        <w:pStyle w:val="Compact"/>
      </w:pPr>
      <w:r>
        <w:t xml:space="preserve">Relación Arquitectura FNA - Riesgo</w:t>
      </w:r>
    </w:p>
    <w:p>
      <w:pPr>
        <w:pStyle w:val="FirstParagraph"/>
      </w:pPr>
    </w:p>
    <w:bookmarkEnd w:id="71"/>
    <w:bookmarkStart w:id="7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36b576d7-6275-4f25-820d-81feeaae5078"/>
    <w:p>
      <w:pPr>
        <w:pStyle w:val="CaptionedFigure"/>
      </w:pPr>
      <w:bookmarkStart w:id="75" w:name="fig:"/>
      <w:r>
        <w:drawing>
          <wp:inline>
            <wp:extent cx="5600700" cy="5260757"/>
            <wp:effectExtent b="0" l="0" r="0" t="0"/>
            <wp:docPr descr="Imagen 4: Modelo de Gobierno SOA. Adaptación FNA. Recursos y Herramientas de Gestión del Riesgo de Arquitectura del FNA." title="" id="73" name="Picture"/>
            <a:graphic>
              <a:graphicData uri="http://schemas.openxmlformats.org/drawingml/2006/picture">
                <pic:pic>
                  <pic:nvPicPr>
                    <pic:cNvPr descr="images/oficinamodelo06.png" id="74" name="Picture"/>
                    <pic:cNvPicPr>
                      <a:picLocks noChangeArrowheads="1" noChangeAspect="1"/>
                    </pic:cNvPicPr>
                  </pic:nvPicPr>
                  <pic:blipFill>
                    <a:blip r:embed="rId72"/>
                    <a:stretch>
                      <a:fillRect/>
                    </a:stretch>
                  </pic:blipFill>
                  <pic:spPr bwMode="auto">
                    <a:xfrm>
                      <a:off x="0" y="0"/>
                      <a:ext cx="5600700" cy="5260757"/>
                    </a:xfrm>
                    <a:prstGeom prst="rect">
                      <a:avLst/>
                    </a:prstGeom>
                    <a:noFill/>
                    <a:ln w="9525">
                      <a:noFill/>
                      <a:headEnd/>
                      <a:tailEnd/>
                    </a:ln>
                  </pic:spPr>
                </pic:pic>
              </a:graphicData>
            </a:graphic>
          </wp:inline>
        </w:drawing>
      </w:r>
      <w:bookmarkEnd w:id="75"/>
    </w:p>
    <w:p>
      <w:pPr>
        <w:pStyle w:val="ImageCaption"/>
      </w:pPr>
      <w:r>
        <w:t xml:space="preserve">Imagen 4: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1.6f47d6c</w:t>
            </w:r>
            <w:r>
              <w:t xml:space="preserve"> </w:t>
            </w:r>
            <w:r>
              <w:t xml:space="preserve">del 03 Jul 2023</w:t>
            </w:r>
          </w:p>
        </w:tc>
      </w:tr>
      <w:tr>
        <w:tc>
          <w:tcPr/>
          <w:p>
            <w:pPr>
              <w:pStyle w:val="Compact"/>
              <w:jc w:val="left"/>
            </w:pPr>
            <w:r>
              <w:t xml:space="preserve">Vínculos</w:t>
            </w:r>
          </w:p>
        </w:tc>
        <w:tc>
          <w:tcPr/>
          <w:p>
            <w:pPr>
              <w:pStyle w:val="Compact"/>
              <w:jc w:val="left"/>
            </w:pPr>
            <w:hyperlink r:id="rId47">
              <w:r>
                <w:rPr>
                  <w:rStyle w:val="Hipervnculo"/>
                </w:rPr>
                <w:t xml:space="preserve">Ejecución Plan de Trabajo SOA</w:t>
              </w:r>
            </w:hyperlink>
            <w:r>
              <w:t xml:space="preserve">;</w:t>
            </w:r>
            <w:r>
              <w:t xml:space="preserve"> </w:t>
            </w:r>
            <w:hyperlink r:id="rId48">
              <w:r>
                <w:rPr>
                  <w:rStyle w:val="Hipervnculo"/>
                </w:rPr>
                <w:t xml:space="preserve">Procesos de Negocio FNA</w:t>
              </w:r>
            </w:hyperlink>
          </w:p>
        </w:tc>
      </w:tr>
    </w:tbl>
    <w:p>
      <w:pPr>
        <w:pStyle w:val="Textoindependiente"/>
      </w:pPr>
    </w:p>
    <w:bookmarkEnd w:id="76"/>
    <w:bookmarkEnd w:id="77"/>
    <w:bookmarkStart w:id="9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7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78" w:name="tbl:riesgo1-id"/>
    <w:p>
      <w:pPr>
        <w:pStyle w:val="TableCaption"/>
      </w:pPr>
      <w:r>
        <w:t xml:space="preserve">Tabla 1: Correspondencia de Conceptos del Riesgo del Gobierno SOA del FNA, versión 0.6.</w:t>
      </w:r>
      <w:r>
        <w:t xml:space="preserve"> </w:t>
      </w:r>
    </w:p>
    <w:tbl>
      <w:tblPr>
        <w:tblStyle w:val="Table"/>
        <w:tblW w:type="auto" w:w="0"/>
        <w:tblLook w:firstRow="1" w:lastRow="0" w:firstColumn="0" w:lastColumn="0" w:noHBand="0" w:noVBand="0" w:val="0020"/>
        <w:tblCaption w:val="Tabla 1: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78"/>
    <w:bookmarkEnd w:id="0"/>
    <w:bookmarkEnd w:id="79"/>
    <w:bookmarkStart w:id="8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09"/>
        </w:numPr>
        <w:pStyle w:val="Compact"/>
      </w:pPr>
      <w:r>
        <w:t xml:space="preserve">¿Qué puede salir mal en la operación existente?</w:t>
      </w:r>
    </w:p>
    <w:p>
      <w:pPr>
        <w:numPr>
          <w:ilvl w:val="0"/>
          <w:numId w:val="1009"/>
        </w:numPr>
        <w:pStyle w:val="Compact"/>
      </w:pPr>
      <w:r>
        <w:t xml:space="preserve">¿Qué hacer para darle tratamiento a esta amenaza?</w:t>
      </w:r>
    </w:p>
    <w:p>
      <w:pPr>
        <w:numPr>
          <w:ilvl w:val="0"/>
          <w:numId w:val="1009"/>
        </w:numPr>
        <w:pStyle w:val="Compact"/>
      </w:pPr>
      <w:r>
        <w:t xml:space="preserve">¿Qué activos/ítems o sistemas debemos proteger?</w:t>
      </w:r>
    </w:p>
    <w:p>
      <w:pPr>
        <w:numPr>
          <w:ilvl w:val="0"/>
          <w:numId w:val="1009"/>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7eff6ea9-ab47-461d-a0b1-47e604d575ae"/>
    <w:p>
      <w:pPr>
        <w:pStyle w:val="CaptionedFigure"/>
      </w:pPr>
      <w:bookmarkStart w:id="83" w:name="fig:"/>
      <w:r>
        <w:drawing>
          <wp:inline>
            <wp:extent cx="5600700" cy="5139172"/>
            <wp:effectExtent b="0" l="0" r="0" t="0"/>
            <wp:docPr descr="Imagen 5: Modelo de ejemplo para la representación de los artefactos, recursos, actividades y activos (software) afectados." title="" id="81" name="Picture"/>
            <a:graphic>
              <a:graphicData uri="http://schemas.openxmlformats.org/drawingml/2006/picture">
                <pic:pic>
                  <pic:nvPicPr>
                    <pic:cNvPr descr="images/modeloriesgo.png" id="82" name="Picture"/>
                    <pic:cNvPicPr>
                      <a:picLocks noChangeArrowheads="1" noChangeAspect="1"/>
                    </pic:cNvPicPr>
                  </pic:nvPicPr>
                  <pic:blipFill>
                    <a:blip r:embed="rId80"/>
                    <a:stretch>
                      <a:fillRect/>
                    </a:stretch>
                  </pic:blipFill>
                  <pic:spPr bwMode="auto">
                    <a:xfrm>
                      <a:off x="0" y="0"/>
                      <a:ext cx="5600700" cy="5139172"/>
                    </a:xfrm>
                    <a:prstGeom prst="rect">
                      <a:avLst/>
                    </a:prstGeom>
                    <a:noFill/>
                    <a:ln w="9525">
                      <a:noFill/>
                      <a:headEnd/>
                      <a:tailEnd/>
                    </a:ln>
                  </pic:spPr>
                </pic:pic>
              </a:graphicData>
            </a:graphic>
          </wp:inline>
        </w:drawing>
      </w:r>
      <w:bookmarkEnd w:id="83"/>
    </w:p>
    <w:p>
      <w:pPr>
        <w:pStyle w:val="ImageCaption"/>
      </w:pPr>
      <w:r>
        <w:t xml:space="preserve">Imagen 5: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789e1e29-1ebc-4622-baa0-370fc8d982a0"/>
    <w:p>
      <w:pPr>
        <w:pStyle w:val="CaptionedFigure"/>
      </w:pPr>
      <w:bookmarkStart w:id="87" w:name="fig:"/>
      <w:r>
        <w:drawing>
          <wp:inline>
            <wp:extent cx="5600700" cy="5239173"/>
            <wp:effectExtent b="0" l="0" r="0" t="0"/>
            <wp:docPr descr="Imagen 6: Relación de los conceptos del modelo de riesgo con las preguntas de control del tratamiento de riesgos de arquitectura del FNA." title="" id="85" name="Picture"/>
            <a:graphic>
              <a:graphicData uri="http://schemas.openxmlformats.org/drawingml/2006/picture">
                <pic:pic>
                  <pic:nvPicPr>
                    <pic:cNvPr descr="images/modeloriesgo1a.png" id="86" name="Picture"/>
                    <pic:cNvPicPr>
                      <a:picLocks noChangeArrowheads="1" noChangeAspect="1"/>
                    </pic:cNvPicPr>
                  </pic:nvPicPr>
                  <pic:blipFill>
                    <a:blip r:embed="rId84"/>
                    <a:stretch>
                      <a:fillRect/>
                    </a:stretch>
                  </pic:blipFill>
                  <pic:spPr bwMode="auto">
                    <a:xfrm>
                      <a:off x="0" y="0"/>
                      <a:ext cx="5600700" cy="5239173"/>
                    </a:xfrm>
                    <a:prstGeom prst="rect">
                      <a:avLst/>
                    </a:prstGeom>
                    <a:noFill/>
                    <a:ln w="9525">
                      <a:noFill/>
                      <a:headEnd/>
                      <a:tailEnd/>
                    </a:ln>
                  </pic:spPr>
                </pic:pic>
              </a:graphicData>
            </a:graphic>
          </wp:inline>
        </w:drawing>
      </w:r>
      <w:bookmarkEnd w:id="87"/>
    </w:p>
    <w:p>
      <w:pPr>
        <w:pStyle w:val="ImageCaption"/>
      </w:pPr>
      <w:r>
        <w:t xml:space="preserve">Imagen 6: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bookmarkEnd w:id="88"/>
    <w:bookmarkStart w:id="9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50cfcf07-ed57-426b-a8d1-6559a4df31ef"/>
    <w:p>
      <w:pPr>
        <w:pStyle w:val="CaptionedFigure"/>
      </w:pPr>
      <w:bookmarkStart w:id="92" w:name="fig:"/>
      <w:r>
        <w:drawing>
          <wp:inline>
            <wp:extent cx="5600700" cy="6275174"/>
            <wp:effectExtent b="0" l="0" r="0" t="0"/>
            <wp:docPr descr="Imagen 7: Modelo de ejemplo para la representación de los artefactos, recursos, actividades y activos (software) afectados." title="" id="90" name="Picture"/>
            <a:graphic>
              <a:graphicData uri="http://schemas.openxmlformats.org/drawingml/2006/picture">
                <pic:pic>
                  <pic:nvPicPr>
                    <pic:cNvPr descr="images/modeloriesgo001.png" id="91" name="Picture"/>
                    <pic:cNvPicPr>
                      <a:picLocks noChangeArrowheads="1" noChangeAspect="1"/>
                    </pic:cNvPicPr>
                  </pic:nvPicPr>
                  <pic:blipFill>
                    <a:blip r:embed="rId89"/>
                    <a:stretch>
                      <a:fillRect/>
                    </a:stretch>
                  </pic:blipFill>
                  <pic:spPr bwMode="auto">
                    <a:xfrm>
                      <a:off x="0" y="0"/>
                      <a:ext cx="5600700" cy="6275174"/>
                    </a:xfrm>
                    <a:prstGeom prst="rect">
                      <a:avLst/>
                    </a:prstGeom>
                    <a:noFill/>
                    <a:ln w="9525">
                      <a:noFill/>
                      <a:headEnd/>
                      <a:tailEnd/>
                    </a:ln>
                  </pic:spPr>
                </pic:pic>
              </a:graphicData>
            </a:graphic>
          </wp:inline>
        </w:drawing>
      </w:r>
      <w:bookmarkEnd w:id="92"/>
    </w:p>
    <w:p>
      <w:pPr>
        <w:pStyle w:val="ImageCaption"/>
      </w:pPr>
      <w:r>
        <w:t xml:space="preserve">Imagen 7: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bookmarkEnd w:id="93"/>
    <w:bookmarkEnd w:id="94"/>
    <w:bookmarkStart w:id="99" w:name="referencias"/>
    <w:p>
      <w:pPr>
        <w:pStyle w:val="Ttulo1"/>
      </w:pPr>
      <w:r>
        <w:t xml:space="preserve">Referencias</w:t>
      </w:r>
    </w:p>
    <w:bookmarkStart w:id="95" w:name="refs"/>
    <w:p>
      <w:pPr>
        <w:pStyle w:val="Bibliography"/>
      </w:pPr>
      <w:r>
        <w:t xml:space="preserve">E-Service. Situación SOA Actual del FNA. Etapa I. (2022).</w:t>
      </w:r>
    </w:p>
    <w:bookmarkEnd w:id="95"/>
    <w:bookmarkStart w:id="96" w:name="refs"/>
    <w:p>
      <w:pPr>
        <w:pStyle w:val="Bibliography"/>
      </w:pPr>
      <w:r>
        <w:t xml:space="preserve">E-Service. Arquitectura de Referencia del FNA. Etapa II. (2023).</w:t>
      </w:r>
    </w:p>
    <w:bookmarkEnd w:id="96"/>
    <w:bookmarkStart w:id="97" w:name="refs"/>
    <w:p>
      <w:pPr>
        <w:pStyle w:val="Bibliography"/>
      </w:pPr>
      <w:r>
        <w:t xml:space="preserve">E-Service. Hoja de Ruta e Iniciativas. Etapa III. (2023).</w:t>
      </w:r>
    </w:p>
    <w:bookmarkEnd w:id="97"/>
    <w:bookmarkStart w:id="98" w:name="refs"/>
    <w:p>
      <w:pPr>
        <w:pStyle w:val="Bibliography"/>
      </w:pPr>
      <w:r>
        <w:t xml:space="preserve">TOGAF 9.1. Risk Management (2023). En https://pubs.opengroup.org/architecture/togaf9-doc/arch/chap27.html</w:t>
      </w:r>
    </w:p>
    <w:bookmarkEnd w:id="98"/>
    <w:bookmarkEnd w:id="9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59" Target="media/rId59.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7" Target="media/rId67.png" /><Relationship Type="http://schemas.openxmlformats.org/officeDocument/2006/relationships/image" Id="rId80" Target="media/rId80.png" /><Relationship Type="http://schemas.openxmlformats.org/officeDocument/2006/relationships/image" Id="rId89" Target="media/rId89.png" /><Relationship Type="http://schemas.openxmlformats.org/officeDocument/2006/relationships/image" Id="rId84" Target="media/rId84.png" /><Relationship Type="http://schemas.openxmlformats.org/officeDocument/2006/relationships/image" Id="rId72" Target="media/rId72.png" /><Relationship Type="http://schemas.openxmlformats.org/officeDocument/2006/relationships/image" Id="rId35" Target="media/rId35.jpg"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6f47d6ca3a134be59677738fc535196fc7dbd180/"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6f47d6ca3a134be59677738fc535196fc7dbd180/"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7" Target="onenote:#N001d.sharepoint.com" TargetMode="External" /><Relationship Type="http://schemas.openxmlformats.org/officeDocument/2006/relationships/hyperlink" Id="rId48"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2023-07-03T03:53:11Z</dcterms:created>
  <dcterms:modified xsi:type="dcterms:W3CDTF">2023-07-03T03:53:11Z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