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61.png" ContentType="image/png"/>
  <Override PartName="/word/media/rId58.png" ContentType="image/png"/>
  <Override PartName="/word/media/rId52.png" ContentType="image/png"/>
  <Override PartName="/word/media/rId55.png" ContentType="image/png"/>
  <Override PartName="/word/media/rId67.png" ContentType="image/png"/>
  <Override PartName="/word/media/rId34.jpg" ContentType="image/jpe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Etapa</w:t>
      </w:r>
      <w:r>
        <w:t xml:space="preserve"> </w:t>
      </w:r>
      <w:r>
        <w:t xml:space="preserve">2.</w:t>
      </w:r>
      <w:r>
        <w:t xml:space="preserve"> </w:t>
      </w:r>
      <w:r>
        <w:t xml:space="preserve">Ejecución</w:t>
      </w:r>
      <w:r>
        <w:t xml:space="preserve"> </w:t>
      </w:r>
      <w:r>
        <w:t xml:space="preserve">Gobierno.</w:t>
      </w:r>
      <w:r>
        <w:t xml:space="preserve"> </w:t>
      </w:r>
      <w:r>
        <w:t xml:space="preserve">Incremento</w:t>
      </w:r>
      <w:r>
        <w:t xml:space="preserve"> </w:t>
      </w:r>
      <w:r>
        <w:t xml:space="preserve">1</w:t>
      </w:r>
    </w:p>
    <w:p>
      <w:pPr>
        <w:pStyle w:val="FirstParagraph"/>
      </w:pPr>
      <w:r>
        <w:t xml:space="preserve">Los productos contractuales (PR0n) de esta etapa(</w:t>
      </w:r>
      <w:hyperlink r:id="rId20">
        <w:r>
          <w:rPr>
            <w:rStyle w:val="Hipervnculo"/>
          </w:rPr>
          <w:t xml:space="preserve">Web</w:t>
        </w:r>
      </w:hyperlink>
      <w:r>
        <w:t xml:space="preserve">)</w:t>
      </w:r>
      <w:r>
        <w:t xml:space="preserve"> </w:t>
      </w:r>
      <w:r>
        <w:t xml:space="preserve">están basados en el resultado de la consultoría</w:t>
      </w:r>
      <w:r>
        <w:t xml:space="preserve"> </w:t>
      </w:r>
      <w:r>
        <w:t xml:space="preserve">“</w:t>
      </w:r>
      <w:r>
        <w:t xml:space="preserve">Arquitectura E-Service</w:t>
      </w:r>
      <w:r>
        <w:t xml:space="preserve">”</w:t>
      </w:r>
      <w:r>
        <w:t xml:space="preserve">,</w:t>
      </w:r>
      <w:r>
        <w:t xml:space="preserve"> </w:t>
      </w:r>
      <w:hyperlink r:id="rId21">
        <w:r>
          <w:rPr>
            <w:rStyle w:val="Hipervnculo"/>
          </w:rPr>
          <w:t xml:space="preserve">Sharepoint STEF@7241ad7</w:t>
        </w:r>
      </w:hyperlink>
      <w:r>
        <w:t xml:space="preserve"> </w:t>
      </w:r>
      <w:r>
        <w:t xml:space="preserve">del July 1, 2023.</w:t>
      </w:r>
      <w:r>
        <w:t xml:space="preserve"> </w:t>
      </w:r>
    </w:p>
    <w:p>
      <w:pPr>
        <w:pStyle w:val="Textoindependiente"/>
      </w:pPr>
      <w:r>
        <w:t xml:space="preserve">   </w:t>
      </w:r>
      <w:r>
        <w:rPr>
          <w:bCs/>
          <w:b/>
        </w:rPr>
        <w:t xml:space="preserve">Versión</w:t>
      </w:r>
      <w:r>
        <w:t xml:space="preserve"> </w:t>
      </w:r>
      <w:r>
        <w:t xml:space="preserve">del producto 1.7241ad7 de 01 Jul 2023</w:t>
      </w:r>
    </w:p>
    <w:p>
      <w:pPr>
        <w:pStyle w:val="Textoindependiente"/>
      </w:pPr>
    </w:p>
    <w:bookmarkStart w:id="27" w:name="autores"/>
    <w:p>
      <w:pPr>
        <w:pStyle w:val="Ttulo2"/>
      </w:pPr>
      <w:r>
        <w:t xml:space="preserve">Autores</w:t>
      </w:r>
    </w:p>
    <w:p>
      <w:pPr>
        <w:numPr>
          <w:ilvl w:val="0"/>
          <w:numId w:val="1001"/>
        </w:numPr>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ipervnculo"/>
          </w:rPr>
          <w:t xml:space="preserve">e_hwong</w:t>
        </w:r>
      </w:hyperlink>
      <w:r>
        <w:t xml:space="preserve"> </w:t>
      </w:r>
      <w:r>
        <w:t xml:space="preserve"> </w:t>
      </w:r>
      <w:r>
        <w:t xml:space="preserve"> </w:t>
      </w:r>
      <w:r>
        <w:t xml:space="preserve">Arquitecto SOA, Stefanini</w:t>
      </w:r>
      <w:r>
        <w:t xml:space="preserve"> </w:t>
      </w:r>
    </w:p>
    <w:p>
      <w:pPr>
        <w:numPr>
          <w:ilvl w:val="0"/>
          <w:numId w:val="1001"/>
        </w:numPr>
      </w:pPr>
      <w:r>
        <w:rPr>
          <w:bCs/>
          <w:b/>
        </w:rPr>
        <w:t xml:space="preserve">Wilson Morales, ing.</w:t>
      </w:r>
      <w:r>
        <w:t xml:space="preserve"> </w:t>
      </w:r>
      <w:r>
        <w:t xml:space="preserve"> </w:t>
      </w:r>
      <w:r>
        <w:t xml:space="preserve">·</w:t>
      </w:r>
      <w:r>
        <w:t xml:space="preserve"> </w:t>
      </w:r>
      <w:r>
        <w:t xml:space="preserve">Usuario</w:t>
      </w:r>
      <w:r>
        <w:t xml:space="preserve"> </w:t>
      </w:r>
      <w:hyperlink r:id="rId23">
        <w:r>
          <w:rPr>
            <w:rStyle w:val="Hipervnculo"/>
          </w:rPr>
          <w:t xml:space="preserve">wmorales</w:t>
        </w:r>
      </w:hyperlink>
      <w:r>
        <w:t xml:space="preserve"> </w:t>
      </w:r>
      <w:r>
        <w:t xml:space="preserve"> </w:t>
      </w:r>
      <w:r>
        <w:t xml:space="preserve"> </w:t>
      </w:r>
      <w:r>
        <w:t xml:space="preserve">Software, Aplicaciones</w:t>
      </w:r>
      <w:r>
        <w:t xml:space="preserve"> </w:t>
      </w:r>
    </w:p>
    <w:p>
      <w:pPr>
        <w:numPr>
          <w:ilvl w:val="0"/>
          <w:numId w:val="1001"/>
        </w:numPr>
      </w:pPr>
      <w:r>
        <w:rPr>
          <w:bCs/>
          <w:b/>
        </w:rPr>
        <w:t xml:space="preserve">Flavio Hernandez, ing.</w:t>
      </w:r>
      <w:r>
        <w:t xml:space="preserve"> </w:t>
      </w:r>
      <w:r>
        <w:t xml:space="preserve"> </w:t>
      </w:r>
      <w:r>
        <w:t xml:space="preserve">·</w:t>
      </w:r>
      <w:r>
        <w:t xml:space="preserve"> </w:t>
      </w:r>
      <w:r>
        <w:t xml:space="preserve">Usuario</w:t>
      </w:r>
      <w:r>
        <w:t xml:space="preserve"> </w:t>
      </w:r>
      <w:hyperlink r:id="rId24">
        <w:r>
          <w:rPr>
            <w:rStyle w:val="Hipervnculo"/>
          </w:rPr>
          <w:t xml:space="preserve">fhernandez</w:t>
        </w:r>
      </w:hyperlink>
      <w:r>
        <w:t xml:space="preserve"> </w:t>
      </w:r>
      <w:r>
        <w:t xml:space="preserve"> </w:t>
      </w:r>
      <w:r>
        <w:t xml:space="preserve"> </w:t>
      </w:r>
      <w:r>
        <w:t xml:space="preserve">SOA, Arquitectura</w:t>
      </w:r>
      <w:r>
        <w:t xml:space="preserve"> </w:t>
      </w:r>
    </w:p>
    <w:p>
      <w:pPr>
        <w:numPr>
          <w:ilvl w:val="0"/>
          <w:numId w:val="1001"/>
        </w:numPr>
      </w:pPr>
      <w:r>
        <w:rPr>
          <w:bCs/>
          <w:b/>
        </w:rPr>
        <w:t xml:space="preserve">Viviana M. Martinez, ing.</w:t>
      </w:r>
      <w:r>
        <w:t xml:space="preserve"> </w:t>
      </w:r>
      <w:r>
        <w:t xml:space="preserve"> </w:t>
      </w:r>
      <w:r>
        <w:t xml:space="preserve">·</w:t>
      </w:r>
      <w:r>
        <w:t xml:space="preserve"> </w:t>
      </w:r>
      <w:r>
        <w:t xml:space="preserve">Usuario</w:t>
      </w:r>
      <w:r>
        <w:t xml:space="preserve"> </w:t>
      </w:r>
      <w:hyperlink r:id="rId25">
        <w:r>
          <w:rPr>
            <w:rStyle w:val="Hipervnculo"/>
          </w:rPr>
          <w:t xml:space="preserve">vmmartinez</w:t>
        </w:r>
      </w:hyperlink>
      <w:r>
        <w:t xml:space="preserve"> </w:t>
      </w:r>
      <w:r>
        <w:t xml:space="preserve"> </w:t>
      </w:r>
      <w:r>
        <w:t xml:space="preserve"> </w:t>
      </w:r>
      <w:r>
        <w:t xml:space="preserve">Analista, Proyectos</w:t>
      </w:r>
      <w:r>
        <w:t xml:space="preserve"> </w:t>
      </w:r>
    </w:p>
    <w:bookmarkStart w:id="26" w:name="correspondence"/>
    <w:p>
      <w:pPr>
        <w:pStyle w:val="FirstParagraph"/>
      </w:pPr>
      <w:r>
        <w:t xml:space="preserve">✉ — Enviar mensajes a Harry Wong, ing. &lt;e_hwong@stefanini.com&gt;.</w:t>
      </w:r>
    </w:p>
    <w:bookmarkEnd w:id="26"/>
    <w:p>
      <w:pPr>
        <w:pStyle w:val="Textoindependiente"/>
      </w:pPr>
    </w:p>
    <w:bookmarkEnd w:id="27"/>
    <w:bookmarkStart w:id="28" w:name="objetivo-del-documento"/>
    <w:p>
      <w:pPr>
        <w:pStyle w:val="Ttulo2"/>
      </w:pPr>
      <w:r>
        <w:t xml:space="preserve">Objetivo del Documento</w:t>
      </w:r>
    </w:p>
    <w:p>
      <w:pPr>
        <w:pStyle w:val="FirstParagraph"/>
      </w:pPr>
      <w:r>
        <w:t xml:space="preserve">Entrega de los productos de la Etapa 2, PR04. Definición de roles y responsabilidades e instalación del comité y PR05. Procesos de mejoramiento de diseño y vigilancia de riesgos técnicos, del proyecto Gobierno SOA: Políticas, flujos de trabajo y personas que ejercitan y conforman (cumplen) con el gobierno SOA del FNA a desplegar a cargo de la oficina de arquitectura.</w:t>
      </w:r>
    </w:p>
    <w:bookmarkEnd w:id="28"/>
    <w:bookmarkStart w:id="30" w:name="control-de-cambios"/>
    <w:p>
      <w:pPr>
        <w:pStyle w:val="Ttulo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PRY01 Gobierno SOA FNA</w:t>
            </w:r>
          </w:p>
        </w:tc>
      </w:tr>
      <w:tr>
        <w:tc>
          <w:tcPr/>
          <w:p>
            <w:pPr>
              <w:pStyle w:val="Compact"/>
              <w:jc w:val="left"/>
            </w:pPr>
            <w:r>
              <w:t xml:space="preserve">Palabras clave</w:t>
            </w:r>
          </w:p>
        </w:tc>
        <w:tc>
          <w:tcPr/>
          <w:p>
            <w:pPr>
              <w:pStyle w:val="Compact"/>
              <w:jc w:val="left"/>
            </w:pPr>
            <w:r>
              <w:t xml:space="preserve">SOA, E-Service, FNA,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1.7241ad7 del 01 Jul 2023</w:t>
            </w:r>
          </w:p>
        </w:tc>
      </w:tr>
      <w:tr>
        <w:tc>
          <w:tcPr/>
          <w:p>
            <w:pPr>
              <w:pStyle w:val="Compact"/>
              <w:jc w:val="left"/>
            </w:pPr>
            <w:r>
              <w:t xml:space="preserve">Vínculos</w:t>
            </w:r>
          </w:p>
        </w:tc>
        <w:tc>
          <w:tcPr/>
          <w:p>
            <w:pPr>
              <w:pStyle w:val="Compact"/>
              <w:jc w:val="left"/>
            </w:pPr>
            <w:hyperlink r:id="rId29">
              <w:r>
                <w:rPr>
                  <w:rStyle w:val="Hipervnculo"/>
                </w:rPr>
                <w:t xml:space="preserve">N003a Vista Segmento SOA FNA</w:t>
              </w:r>
            </w:hyperlink>
          </w:p>
        </w:tc>
      </w:tr>
    </w:tbl>
    <w:p>
      <w:pPr>
        <w:pStyle w:val="Textoindependiente"/>
      </w:pPr>
    </w:p>
    <w:p>
      <w:pPr>
        <w:pStyle w:val="Textoindependiente"/>
      </w:pPr>
    </w:p>
    <w:p>
      <w:r>
        <w:pict>
          <v:rect style="width:0;height:1.5pt" o:hralign="center" o:hrstd="t" o:hr="t"/>
        </w:pict>
      </w:r>
    </w:p>
    <w:p>
      <w:pPr>
        <w:pStyle w:val="Textodebloque"/>
      </w:pPr>
      <w:r>
        <w:t xml:space="preserve">E-Service. Fase II</w:t>
      </w:r>
    </w:p>
    <w:p>
      <w:pPr>
        <w:pStyle w:val="Textodebloque"/>
      </w:pPr>
      <w:r>
        <w:t xml:space="preserve">PRY01. Gobierno SOA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01 Jul 2023</w:t>
      </w:r>
    </w:p>
    <w:p>
      <w:pPr>
        <w:pStyle w:val="Textodebloque"/>
      </w:pPr>
      <w:r>
        <w:rPr>
          <w:bCs/>
          <w:b/>
        </w:rPr>
        <w:t xml:space="preserve">Versión</w:t>
      </w:r>
      <w:r>
        <w:t xml:space="preserve"> </w:t>
      </w:r>
      <w:r>
        <w:t xml:space="preserve">1.7241ad7</w:t>
      </w:r>
    </w:p>
    <w:p>
      <w:pPr>
        <w:pStyle w:val="FirstParagraph"/>
      </w:pPr>
    </w:p>
    <w:bookmarkEnd w:id="30"/>
    <w:bookmarkStart w:id="39" w:name="Xdcdd8befcc7df0c2e9f3870858594db72053b50"/>
    <w:p>
      <w:pPr>
        <w:pStyle w:val="Ttulo1"/>
      </w:pPr>
      <w:r>
        <w:t xml:space="preserve">Producto 4: PR04. Definición de roles y responsabilidades e instalación del comité</w:t>
      </w:r>
    </w:p>
    <w:p>
      <w:pPr>
        <w:pStyle w:val="FirstParagraph"/>
      </w:pPr>
      <w:r>
        <w:t xml:space="preserve">Desarrollo de procedimientos, funciones, entregables, selección de roles y herramientas a desplegar para la puesta en marcha de un Comité de Arquitectura del FNA adscrito a la Vicepresidencia de Tecnología FNA y en cumplimiento con el Gobierno SOA, versión 0.5, objeto de este proyecto.</w:t>
      </w:r>
    </w:p>
    <w:p>
      <w:pPr>
        <w:pStyle w:val="Textoindependiente"/>
      </w:pPr>
      <w:r>
        <w:rPr>
          <w:bCs/>
          <w:b/>
        </w:rPr>
        <w:t xml:space="preserve">Nota</w:t>
      </w:r>
      <w:r>
        <w:t xml:space="preserve">: los análisis de este producto están dirigidos a cumplir los objetivos del proyecto PRY01, Gobierno SOA: desarrollo, gestión, gobierno de arquitectura y adopción.</w:t>
      </w:r>
    </w:p>
    <w:p>
      <w:pPr>
        <w:pStyle w:val="Textoindependiente"/>
      </w:pPr>
    </w:p>
    <w:bookmarkStart w:id="31" w:name="justificación"/>
    <w:p>
      <w:pPr>
        <w:pStyle w:val="Ttulo2"/>
      </w:pPr>
      <w:r>
        <w:t xml:space="preserve">Justificación</w:t>
      </w:r>
    </w:p>
    <w:p>
      <w:pPr>
        <w:pStyle w:val="FirstParagraph"/>
      </w:pPr>
      <w:r>
        <w:t xml:space="preserve">El Comité de Arquitectura es la entidad de supervisión ubicada entre la oficina de arquitectura (PR02, objeto de este proyecto) y los líderes de grupo de productos del FNA y áreas interesadas. Es una figura necesaria dado los resultados de los diagnósticos SOA, en particular el de riesgos técnicos, realizados en la Fase I de la consultoría E-Service que señalan como causantes a la complejidad y (baja) agilidad que enfrenta el FNA. El Comité de Arquitectura funge como complemento, apoyo y arbitraje (directriz) de los decisiones conciernentes a los trabajo de arquitectura del FNA dirigidos a la solución de estos problemas.</w:t>
      </w:r>
    </w:p>
    <w:bookmarkEnd w:id="31"/>
    <w:bookmarkStart w:id="32" w:name="contenidos"/>
    <w:p>
      <w:pPr>
        <w:pStyle w:val="Ttulo2"/>
      </w:pPr>
      <w:r>
        <w:t xml:space="preserve">Contenidos</w:t>
      </w:r>
    </w:p>
    <w:p>
      <w:pPr>
        <w:numPr>
          <w:ilvl w:val="0"/>
          <w:numId w:val="1002"/>
        </w:numPr>
        <w:pStyle w:val="Compact"/>
      </w:pPr>
      <w:r>
        <w:t xml:space="preserve">Modelo operativo del Comité de Gobierno de Arquitectura del FNA: actores, información y procedimientos</w:t>
      </w:r>
    </w:p>
    <w:p>
      <w:pPr>
        <w:numPr>
          <w:ilvl w:val="0"/>
          <w:numId w:val="1002"/>
        </w:numPr>
        <w:pStyle w:val="Compact"/>
      </w:pPr>
      <w:r>
        <w:t xml:space="preserve">Consideraciones para la puesta en marcha del Comité</w:t>
      </w:r>
    </w:p>
    <w:p>
      <w:pPr>
        <w:numPr>
          <w:ilvl w:val="0"/>
          <w:numId w:val="1002"/>
        </w:numPr>
        <w:pStyle w:val="Compact"/>
      </w:pPr>
      <w:r>
        <w:t xml:space="preserve">Aplicaciones de soporte a la Oficina de Arquitecura (Pr02) y a la Vicepresidencia de Tecnología del FNA</w:t>
      </w:r>
    </w:p>
    <w:p>
      <w:pPr>
        <w:numPr>
          <w:ilvl w:val="0"/>
          <w:numId w:val="1002"/>
        </w:numPr>
        <w:pStyle w:val="Compact"/>
      </w:pPr>
      <w:r>
        <w:t xml:space="preserve">Matriz de responsabilidades y procedimiento del Comité de Arquitectura</w:t>
      </w:r>
    </w:p>
    <w:p>
      <w:pPr>
        <w:numPr>
          <w:ilvl w:val="0"/>
          <w:numId w:val="1002"/>
        </w:numPr>
        <w:pStyle w:val="Compact"/>
      </w:pPr>
      <w:r>
        <w:t xml:space="preserve">Métodos de evaluación de arquitecturas para el FNA</w:t>
      </w:r>
    </w:p>
    <w:p>
      <w:pPr>
        <w:pStyle w:val="FirstParagraph"/>
      </w:pPr>
    </w:p>
    <w:bookmarkEnd w:id="32"/>
    <w:bookmarkStart w:id="33" w:name="criterios-de-aceptación"/>
    <w:p>
      <w:pPr>
        <w:pStyle w:val="Ttulo2"/>
      </w:pPr>
      <w:r>
        <w:t xml:space="preserve">Criterios de Aceptación</w:t>
      </w:r>
    </w:p>
    <w:p>
      <w:pPr>
        <w:numPr>
          <w:ilvl w:val="0"/>
          <w:numId w:val="1003"/>
        </w:numPr>
        <w:pStyle w:val="Compact"/>
      </w:pPr>
      <w:r>
        <w:t xml:space="preserve">Entendimiento funcional y operativa del comité de arquitectura del FNA</w:t>
      </w:r>
    </w:p>
    <w:p>
      <w:pPr>
        <w:numPr>
          <w:ilvl w:val="0"/>
          <w:numId w:val="1003"/>
        </w:numPr>
        <w:pStyle w:val="Compact"/>
      </w:pPr>
      <w:r>
        <w:t xml:space="preserve">Matriz de roles y procedimientos del del comité de arquitetura del FNA</w:t>
      </w:r>
    </w:p>
    <w:p>
      <w:pPr>
        <w:pStyle w:val="FirstParagraph"/>
      </w:pPr>
    </w:p>
    <w:bookmarkEnd w:id="33"/>
    <w:bookmarkStart w:id="38" w:name="modelo-de-implementación-del-pry01"/>
    <w:p>
      <w:pPr>
        <w:pStyle w:val="Ttulo2"/>
      </w:pPr>
      <w:r>
        <w:t xml:space="preserve">Modelo de Implementación del PRY01</w:t>
      </w:r>
    </w:p>
    <w:bookmarkStart w:id="0" w:name="fig:61ce793e-8387-4418-ba95-8e1aa7825eb7"/>
    <w:p>
      <w:pPr>
        <w:pStyle w:val="CaptionedFigure"/>
      </w:pPr>
      <w:bookmarkStart w:id="37" w:name="fig:"/>
      <w:r>
        <w:drawing>
          <wp:inline>
            <wp:extent cx="5600700" cy="4499951"/>
            <wp:effectExtent b="0" l="0" r="0" t="0"/>
            <wp:docPr descr="Imagen 1: Plan de Implementación del Proyecto Gobierno SOA del FNA (PRY01), 2023. Junio 2023 a julio 2023" title="" id="35" name="Picture"/>
            <a:graphic>
              <a:graphicData uri="http://schemas.openxmlformats.org/drawingml/2006/picture">
                <pic:pic>
                  <pic:nvPicPr>
                    <pic:cNvPr descr="images/pry1gobierno.jpg" id="36" name="Picture"/>
                    <pic:cNvPicPr>
                      <a:picLocks noChangeArrowheads="1" noChangeAspect="1"/>
                    </pic:cNvPicPr>
                  </pic:nvPicPr>
                  <pic:blipFill>
                    <a:blip r:embed="rId34"/>
                    <a:stretch>
                      <a:fillRect/>
                    </a:stretch>
                  </pic:blipFill>
                  <pic:spPr bwMode="auto">
                    <a:xfrm>
                      <a:off x="0" y="0"/>
                      <a:ext cx="5600700" cy="4499951"/>
                    </a:xfrm>
                    <a:prstGeom prst="rect">
                      <a:avLst/>
                    </a:prstGeom>
                    <a:noFill/>
                    <a:ln w="9525">
                      <a:noFill/>
                      <a:headEnd/>
                      <a:tailEnd/>
                    </a:ln>
                  </pic:spPr>
                </pic:pic>
              </a:graphicData>
            </a:graphic>
          </wp:inline>
        </w:drawing>
      </w:r>
      <w:bookmarkEnd w:id="37"/>
    </w:p>
    <w:p>
      <w:pPr>
        <w:pStyle w:val="ImageCaption"/>
      </w:pPr>
      <w:r>
        <w:t xml:space="preserve">Imagen 1: Plan de Implementación del Proyecto Gobierno SOA del FNA (PRY01), 2023. Junio 2023 a julio 2023</w:t>
      </w:r>
    </w:p>
    <w:bookmarkEnd w:id="0"/>
    <w:p>
      <w:pPr>
        <w:pStyle w:val="Textoindependiente"/>
      </w:pPr>
      <w:r>
        <w:rPr>
          <w:iCs/>
          <w:i/>
        </w:rPr>
        <w:t xml:space="preserve">Fuente: Elaboración propia.</w:t>
      </w:r>
    </w:p>
    <w:p>
      <w:pPr>
        <w:pStyle w:val="Textoindependiente"/>
      </w:pPr>
    </w:p>
    <w:p>
      <w:pPr>
        <w:pStyle w:val="Textoindependiente"/>
      </w:pPr>
      <w:r>
        <w:t xml:space="preserve">Modelo operativo del Comité</w:t>
      </w:r>
    </w:p>
    <w:p>
      <w:pPr>
        <w:pStyle w:val="Textoindependiente"/>
      </w:pPr>
      <w:r>
        <w:t xml:space="preserve">La evaluación de arquitectura queda ordenada en 3 aspectos:</w:t>
      </w:r>
      <w:r>
        <w:t xml:space="preserve"> </w:t>
      </w:r>
      <w:r>
        <w:t xml:space="preserve">1. Riesgos técnicos</w:t>
      </w:r>
      <w:r>
        <w:t xml:space="preserve"> </w:t>
      </w:r>
      <w:r>
        <w:t xml:space="preserve">2. Puntos de Sensibilidad</w:t>
      </w:r>
      <w:r>
        <w:t xml:space="preserve"> </w:t>
      </w:r>
      <w:r>
        <w:t xml:space="preserve">3. Compensaciones</w:t>
      </w:r>
    </w:p>
    <w:p>
      <w:pPr>
        <w:pStyle w:val="Textoindependiente"/>
      </w:pPr>
      <w:r>
        <w:t xml:space="preserve">Mecánica</w:t>
      </w:r>
      <w:r>
        <w:t xml:space="preserve"> </w:t>
      </w:r>
      <w:r>
        <w:t xml:space="preserve">1. Elaboración de escenarios (Arq.)</w:t>
      </w:r>
      <w:r>
        <w:t xml:space="preserve"> </w:t>
      </w:r>
      <w:r>
        <w:t xml:space="preserve">2. Evaluación de escenarios (Eval.)</w:t>
      </w:r>
      <w:r>
        <w:t xml:space="preserve"> </w:t>
      </w:r>
      <w:r>
        <w:t xml:space="preserve">3. Calificación del árbol utilidad (Arq.)</w:t>
      </w:r>
    </w:p>
    <w:p>
      <w:pPr>
        <w:pStyle w:val="Textoindependiente"/>
      </w:pPr>
      <w:r>
        <w:t xml:space="preserve">Escenarios</w:t>
      </w:r>
      <w:r>
        <w:t xml:space="preserve"> </w:t>
      </w:r>
      <w:r>
        <w:t xml:space="preserve">* operaciones más usadas en el negocio: cuáles son?</w:t>
      </w:r>
    </w:p>
    <w:p>
      <w:r>
        <w:pict>
          <v:rect style="width:0;height:1.5pt" o:hralign="center" o:hrstd="t" o:hr="t"/>
        </w:pict>
      </w:r>
    </w:p>
    <w:p>
      <w:pPr>
        <w:pStyle w:val="Textodebloque"/>
      </w:pPr>
      <w:r>
        <w:t xml:space="preserve">E-Service. Fase II</w:t>
      </w:r>
    </w:p>
    <w:p>
      <w:pPr>
        <w:pStyle w:val="Textodebloque"/>
      </w:pPr>
      <w:r>
        <w:t xml:space="preserve">PRY01. Gobierno SOA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01 Jul 2023</w:t>
      </w:r>
    </w:p>
    <w:p>
      <w:pPr>
        <w:pStyle w:val="Textodebloque"/>
      </w:pPr>
      <w:r>
        <w:rPr>
          <w:bCs/>
          <w:b/>
        </w:rPr>
        <w:t xml:space="preserve">Versión</w:t>
      </w:r>
      <w:r>
        <w:t xml:space="preserve"> </w:t>
      </w:r>
      <w:r>
        <w:t xml:space="preserve">1.7241ad7</w:t>
      </w:r>
    </w:p>
    <w:p>
      <w:pPr>
        <w:pStyle w:val="FirstParagraph"/>
      </w:pPr>
    </w:p>
    <w:bookmarkEnd w:id="38"/>
    <w:bookmarkEnd w:id="39"/>
    <w:bookmarkStart w:id="50" w:name="X960c319d5b6eb4ad49843cd8d01224da45e0610"/>
    <w:p>
      <w:pPr>
        <w:pStyle w:val="Ttulo1"/>
      </w:pPr>
      <w:r>
        <w:t xml:space="preserve">Producto 5: PR05. Procesos de mejoramiento de diseño y vigilancia de riesgos técnicos</w:t>
      </w:r>
    </w:p>
    <w:p>
      <w:pPr>
        <w:pStyle w:val="FirstParagraph"/>
      </w:pPr>
      <w:r>
        <w:t xml:space="preserve">Uno de los principales valores que un Gobierno entrega es la identificación y la gestión de las acciones para controlar los riesgos. Y en el caso de este ejercicio de gobierno trataremos los riesgos de tecnología y de arquitectura SOA del FNA consignados en el estudio E-Service, Fase I (2022).</w:t>
      </w:r>
    </w:p>
    <w:p>
      <w:pPr>
        <w:pStyle w:val="Textoindependiente"/>
      </w:pPr>
      <w:r>
        <w:t xml:space="preserve">El producto 5 es el detalle de los procedimientos y técnicas de tratamiento y modelamiento diseñadas para la operación de los riesgos técnicos del FNA consignados en el estudio E-Service, Fase I (2022).</w:t>
      </w:r>
    </w:p>
    <w:p>
      <w:pPr>
        <w:pStyle w:val="Textoindependiente"/>
      </w:pPr>
      <w:r>
        <w:rPr>
          <w:bCs/>
          <w:b/>
        </w:rPr>
        <w:t xml:space="preserve">Nota</w:t>
      </w:r>
      <w:r>
        <w:t xml:space="preserve">: los análisis de este producto están dirigidos a cumplir los objetivos del proyecto PRY01, Gobierno SOA: desarrollo, gestión, gobierno de arquitectura y adopción.</w:t>
      </w:r>
    </w:p>
    <w:p>
      <w:pPr>
        <w:pStyle w:val="Textoindependiente"/>
      </w:pPr>
    </w:p>
    <w:bookmarkStart w:id="40" w:name="justificación-1"/>
    <w:p>
      <w:pPr>
        <w:pStyle w:val="Ttulo2"/>
      </w:pPr>
      <w:r>
        <w:t xml:space="preserve">Justificación</w:t>
      </w:r>
    </w:p>
    <w:p>
      <w:pPr>
        <w:pStyle w:val="FirstParagraph"/>
      </w:pPr>
      <w:r>
        <w:t xml:space="preserve">El tratamiento de los riesgos tecnológicos identifidos en el diagnóstco SOA de Fase I, E-Service (2022) (ver</w:t>
      </w:r>
      <w:r>
        <w:t xml:space="preserve"> </w:t>
      </w:r>
      <w:hyperlink r:id="rId29">
        <w:r>
          <w:rPr>
            <w:rStyle w:val="Hipervnculo"/>
          </w:rPr>
          <w:t xml:space="preserve">03.Fase 1 PR3 Resultado Diagnóstico Situación Actual</w:t>
        </w:r>
      </w:hyperlink>
      <w:r>
        <w:t xml:space="preserve">) exigen acciones tal que mitiguen y adviertan al FNA sobre los impactos que estos comportan. El desarrollo de la vigilancia de los riesgos técnicos entra a reforzar al gobierno SOA del Fondo Nacional del Ahorro en curso en este proyecto y resulta en la personalización y aplicación de métodos que den tratamiento a estos. Además, operar los riesgos técnicos es de carácter obligatorio, dado que es un objetivo del Gobierno SOA del FNA: objtivo Vigilancia del riesgo tecnológico (G-OBJ1).</w:t>
      </w:r>
    </w:p>
    <w:bookmarkEnd w:id="40"/>
    <w:bookmarkStart w:id="41" w:name="contenidos-1"/>
    <w:p>
      <w:pPr>
        <w:pStyle w:val="Ttulo2"/>
      </w:pPr>
      <w:r>
        <w:t xml:space="preserve">Contenidos</w:t>
      </w:r>
    </w:p>
    <w:p>
      <w:pPr>
        <w:numPr>
          <w:ilvl w:val="0"/>
          <w:numId w:val="1004"/>
        </w:numPr>
        <w:pStyle w:val="Compact"/>
      </w:pPr>
      <w:r>
        <w:t xml:space="preserve">Definición e identificación del riesgo técnico del FNA (E-Service, Fase I)</w:t>
      </w:r>
    </w:p>
    <w:p>
      <w:pPr>
        <w:numPr>
          <w:ilvl w:val="0"/>
          <w:numId w:val="1004"/>
        </w:numPr>
        <w:pStyle w:val="Compact"/>
      </w:pPr>
      <w:r>
        <w:t xml:space="preserve">Modelamiento del riesgo técnico del FNA (Oficina de Arquitectura FNA)</w:t>
      </w:r>
    </w:p>
    <w:p>
      <w:pPr>
        <w:numPr>
          <w:ilvl w:val="0"/>
          <w:numId w:val="1004"/>
        </w:numPr>
        <w:pStyle w:val="Compact"/>
      </w:pPr>
      <w:r>
        <w:t xml:space="preserve">Métodos para el tratamiento de los riesgos técnicos E-Service Fase I</w:t>
      </w:r>
    </w:p>
    <w:p>
      <w:pPr>
        <w:pStyle w:val="FirstParagraph"/>
      </w:pPr>
    </w:p>
    <w:bookmarkEnd w:id="41"/>
    <w:bookmarkStart w:id="42" w:name="criterios-de-aceptación-1"/>
    <w:p>
      <w:pPr>
        <w:pStyle w:val="Ttulo2"/>
      </w:pPr>
      <w:r>
        <w:t xml:space="preserve">Criterios de Aceptación</w:t>
      </w:r>
    </w:p>
    <w:p>
      <w:pPr>
        <w:numPr>
          <w:ilvl w:val="0"/>
          <w:numId w:val="1005"/>
        </w:numPr>
        <w:pStyle w:val="Compact"/>
      </w:pPr>
      <w:r>
        <w:t xml:space="preserve">Procedimientos y técnicas de modelamiento para el tratamiento de los riesgos técnicos del FNA (E-Service, 2022)</w:t>
      </w:r>
    </w:p>
    <w:p>
      <w:pPr>
        <w:numPr>
          <w:ilvl w:val="0"/>
          <w:numId w:val="1005"/>
        </w:numPr>
        <w:pStyle w:val="Compact"/>
      </w:pPr>
      <w:r>
        <w:t xml:space="preserve">Matriz de riesgos técnicos e impactos del FNA</w:t>
      </w:r>
    </w:p>
    <w:p>
      <w:pPr>
        <w:pStyle w:val="FirstParagraph"/>
      </w:pPr>
    </w:p>
    <w:bookmarkEnd w:id="42"/>
    <w:bookmarkStart w:id="48" w:name="modelo-de-implementación-del-pry01-1"/>
    <w:p>
      <w:pPr>
        <w:pStyle w:val="Ttulo2"/>
      </w:pPr>
      <w:r>
        <w:t xml:space="preserve">Modelo de Implementación del PRY01</w:t>
      </w:r>
    </w:p>
    <w:bookmarkStart w:id="0" w:name="fig:25645344-0793-4c10-b34a-c2c3a4132c05"/>
    <w:p>
      <w:pPr>
        <w:pStyle w:val="CaptionedFigure"/>
      </w:pPr>
      <w:bookmarkStart w:id="45" w:name="fig:"/>
      <w:r>
        <w:drawing>
          <wp:inline>
            <wp:extent cx="5600700" cy="4499951"/>
            <wp:effectExtent b="0" l="0" r="0" t="0"/>
            <wp:docPr descr="Imagen 2: Plan de Implementación del Proyecto Gobierno SOA del FNA (PRY01), 2023. Junio 2023 a julio 2023" title="" id="43" name="Picture"/>
            <a:graphic>
              <a:graphicData uri="http://schemas.openxmlformats.org/drawingml/2006/picture">
                <pic:pic>
                  <pic:nvPicPr>
                    <pic:cNvPr descr="images/pry1gobierno.jpg" id="44" name="Picture"/>
                    <pic:cNvPicPr>
                      <a:picLocks noChangeArrowheads="1" noChangeAspect="1"/>
                    </pic:cNvPicPr>
                  </pic:nvPicPr>
                  <pic:blipFill>
                    <a:blip r:embed="rId34"/>
                    <a:stretch>
                      <a:fillRect/>
                    </a:stretch>
                  </pic:blipFill>
                  <pic:spPr bwMode="auto">
                    <a:xfrm>
                      <a:off x="0" y="0"/>
                      <a:ext cx="5600700" cy="4499951"/>
                    </a:xfrm>
                    <a:prstGeom prst="rect">
                      <a:avLst/>
                    </a:prstGeom>
                    <a:noFill/>
                    <a:ln w="9525">
                      <a:noFill/>
                      <a:headEnd/>
                      <a:tailEnd/>
                    </a:ln>
                  </pic:spPr>
                </pic:pic>
              </a:graphicData>
            </a:graphic>
          </wp:inline>
        </w:drawing>
      </w:r>
      <w:bookmarkEnd w:id="45"/>
    </w:p>
    <w:p>
      <w:pPr>
        <w:pStyle w:val="ImageCaption"/>
      </w:pPr>
      <w:r>
        <w:t xml:space="preserve">Imagen 2: Plan de Implementación del Proyecto Gobierno SOA del FNA (PRY01), 2023. Junio 2023 a julio 2023</w:t>
      </w:r>
    </w:p>
    <w:bookmarkEnd w:id="0"/>
    <w:p>
      <w:pPr>
        <w:pStyle w:val="Textoindependiente"/>
      </w:pPr>
      <w:r>
        <w:rPr>
          <w:iCs/>
          <w:i/>
        </w:rPr>
        <w:t xml:space="preserve">Fuente: Elaboración propia.</w:t>
      </w:r>
    </w:p>
    <w:p>
      <w:pPr>
        <w:pStyle w:val="Textoindependiente"/>
      </w:pPr>
    </w:p>
    <w:tbl>
      <w:tblPr>
        <w:tblStyle w:val="Table"/>
        <w:tblW w:type="pct" w:w="5000"/>
        <w:tblLook w:firstRow="1" w:lastRow="0" w:firstColumn="0" w:lastColumn="0" w:noHBand="0" w:noVBand="0" w:val="0020"/>
      </w:tblPr>
      <w:tblGrid>
        <w:gridCol w:w="1604"/>
        <w:gridCol w:w="6315"/>
      </w:tblGrid>
      <w:tr>
        <w:trPr>
          <w:tblHeader w:val="true"/>
        </w:trPr>
        <w:tc>
          <w:tcPr/>
          <w:p>
            <w:pPr>
              <w:pStyle w:val="Compact"/>
              <w:jc w:val="left"/>
            </w:pPr>
            <w:r>
              <w:t xml:space="preserve">Tema</w:t>
            </w:r>
          </w:p>
        </w:tc>
        <w:tc>
          <w:tcPr/>
          <w:p>
            <w:pPr>
              <w:pStyle w:val="Compact"/>
              <w:jc w:val="left"/>
            </w:pPr>
            <w:r>
              <w:t xml:space="preserve">Gobierno SOA del FNA:</w:t>
            </w:r>
            <w:r>
              <w:t xml:space="preserve"> </w:t>
            </w:r>
            <w:r>
              <w:rPr>
                <w:bCs/>
                <w:b/>
              </w:rPr>
              <w:t xml:space="preserve">Riesgo Técnico de Arquitectura del FNA</w:t>
            </w:r>
          </w:p>
        </w:tc>
      </w:tr>
      <w:tr>
        <w:tc>
          <w:tcPr/>
          <w:p>
            <w:pPr>
              <w:pStyle w:val="Compact"/>
              <w:jc w:val="left"/>
            </w:pPr>
            <w:r>
              <w:t xml:space="preserve">Palabras clave</w:t>
            </w:r>
          </w:p>
        </w:tc>
        <w:tc>
          <w:tcPr/>
          <w:p>
            <w:pPr>
              <w:pStyle w:val="Compact"/>
              <w:jc w:val="left"/>
            </w:pPr>
            <w:r>
              <w:t xml:space="preserve">SOA, Contexto, Áreas, Procesos, Objetivo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1.7241ad7</w:t>
            </w:r>
            <w:r>
              <w:t xml:space="preserve"> </w:t>
            </w:r>
            <w:r>
              <w:t xml:space="preserve">del 01 Jul 2023</w:t>
            </w:r>
          </w:p>
        </w:tc>
      </w:tr>
      <w:tr>
        <w:tc>
          <w:tcPr/>
          <w:p>
            <w:pPr>
              <w:pStyle w:val="Compact"/>
              <w:jc w:val="left"/>
            </w:pPr>
            <w:r>
              <w:t xml:space="preserve">Vínculos</w:t>
            </w:r>
          </w:p>
        </w:tc>
        <w:tc>
          <w:tcPr/>
          <w:p>
            <w:pPr>
              <w:pStyle w:val="Compact"/>
              <w:jc w:val="left"/>
            </w:pPr>
            <w:hyperlink r:id="rId46">
              <w:r>
                <w:rPr>
                  <w:rStyle w:val="Hipervnculo"/>
                </w:rPr>
                <w:t xml:space="preserve">Ejecución Plan de Trabajo SOA</w:t>
              </w:r>
            </w:hyperlink>
            <w:r>
              <w:t xml:space="preserve">;</w:t>
            </w:r>
            <w:r>
              <w:t xml:space="preserve"> </w:t>
            </w:r>
            <w:hyperlink r:id="rId47">
              <w:r>
                <w:rPr>
                  <w:rStyle w:val="Hipervnculo"/>
                </w:rPr>
                <w:t xml:space="preserve">Procesos de Negocio FNA</w:t>
              </w:r>
            </w:hyperlink>
          </w:p>
        </w:tc>
      </w:tr>
    </w:tbl>
    <w:p>
      <w:pPr>
        <w:pStyle w:val="Textoindependiente"/>
      </w:pPr>
    </w:p>
    <w:bookmarkEnd w:id="48"/>
    <w:bookmarkStart w:id="49" w:name="Xc5c97f7920903615d2dd37bbe42739d0f6313a3"/>
    <w:p>
      <w:pPr>
        <w:pStyle w:val="Ttulo2"/>
      </w:pPr>
      <w:r>
        <w:t xml:space="preserve">Definición de Riesgo Técnico de Arquitectura del FNA</w:t>
      </w:r>
    </w:p>
    <w:p>
      <w:pPr>
        <w:pStyle w:val="FirstParagraph"/>
      </w:pPr>
      <w:r>
        <w:t xml:space="preserve">Es importante adoptar una definición de lo que es el riesgo técnico en el contexto de este proyecto. La definición ayudará en el logro de los objetos de este proyecto, identificar y realizar las estructuras de información y los diseños que los mitiguen.</w:t>
      </w:r>
    </w:p>
    <w:p>
      <w:pPr>
        <w:pStyle w:val="Textoindependiente"/>
      </w:pPr>
      <w:r>
        <w:t xml:space="preserve">Para la definición de riesgo técnico de las arquitecturas del FNA, en el contexto de este proyecto, utilizaremos un ejemplo de un caso existente en el FNA.</w:t>
      </w:r>
    </w:p>
    <w:p>
      <w:pPr>
        <w:pStyle w:val="SourceCode"/>
      </w:pPr>
      <w:r>
        <w:rPr>
          <w:rStyle w:val="VerbatimChar"/>
        </w:rPr>
        <w:t xml:space="preserve">De las problemáticas encontradas en la Fase 1 del presente diagnóstico, nos referimos explícitamente a las que incrementan la complejidad de las soluciones SOA y soluciones de software del FNA, _como el manejo de dependencias de los servicios SOA del Fondo_. Es conocido y demostrado que solo esta condición es parte de la causa de los sobreesfuerzos que se dan en la evolución de dichas soluciones, y de las dificultades que se encuentran en los análisis de impacto de estos cambios (E-Service, Fase I, 2022).</w:t>
      </w:r>
    </w:p>
    <w:p>
      <w:pPr>
        <w:pStyle w:val="FirstParagraph"/>
      </w:pPr>
      <w:r>
        <w:t xml:space="preserve">Por otro lado, miremos aproximacines y definiciones de riesgo técnico generalmente aceptadas, como la enunciada por la ISO 31000:2009, o la del Enterprise Risk Management que citamos a contuación</w:t>
      </w:r>
    </w:p>
    <w:p>
      <w:pPr>
        <w:pStyle w:val="SourceCode"/>
      </w:pPr>
      <w:r>
        <w:rPr>
          <w:rStyle w:val="VerbatimChar"/>
        </w:rPr>
        <w:t xml:space="preserve">Partimos de la diferenciación del concepto de riesgo de la empresa y del profesional de la gestión de riesgos (ERM, o Enterprise Risk Management). Para el profesional de la gestión, riesgo es el "efecto que la incertidumbre tiene sobre la consecusión de los objetivos de negocio". En otras palabras, es una amenaza y es negativo.</w:t>
      </w:r>
    </w:p>
    <w:p>
      <w:pPr>
        <w:pStyle w:val="FirstParagraph"/>
      </w:pPr>
      <w:r>
        <w:t xml:space="preserve">O, esta otra, del Open Group</w:t>
      </w:r>
    </w:p>
    <w:p>
      <w:pPr>
        <w:pStyle w:val="SourceCode"/>
      </w:pPr>
      <w:r>
        <w:rPr>
          <w:rStyle w:val="VerbatimChar"/>
        </w:rPr>
        <w:t xml:space="preserve">Manejo de riesgo técnico en el estándar de TOGAF que se enfoca principalmente en los riesgos presentados en los proyectos de arquitectura (Open Group, Risk Management).</w:t>
      </w:r>
    </w:p>
    <w:p>
      <w:pPr>
        <w:pStyle w:val="FirstParagraph"/>
      </w:pPr>
      <w:r>
        <w:t xml:space="preserve">Vemos que para esta organización especializada el riesgo técnico de arquitectura es aquel que tiene que ver con los proyetos de arquitectura, diferente de otros enunciados, como el de la ERM (Enterprise Risk Management), que es más amplia y que se extiende hasta negocio, sistemas de información, privacidad, normatividad, cambio, ente otras.</w:t>
      </w:r>
    </w:p>
    <w:p>
      <w:pPr>
        <w:pStyle w:val="Textoindependiente"/>
      </w:pPr>
      <w:r>
        <w:t xml:space="preserve">En este proyecto, y en el mismo sentido de la definición de riesgo técnico de ambas definicones (ERM y Open Group), por su relación con las arquitecturas del FNA, acogemos parte de esta definición y la acotamos necesariamente al tratar únicamente sobre los</w:t>
      </w:r>
      <w:r>
        <w:t xml:space="preserve"> </w:t>
      </w:r>
      <w:r>
        <w:rPr>
          <w:iCs/>
          <w:i/>
        </w:rPr>
        <w:t xml:space="preserve">riesgos tecnológicos que amenazan (afectan) a las arquitecturas SOA y a la consecusión de objetivos de la Oficina de Arquitectura del FNA</w:t>
      </w:r>
      <w:r>
        <w:t xml:space="preserve">.</w:t>
      </w:r>
    </w:p>
    <w:p>
      <w:pPr>
        <w:pStyle w:val="SourceCode"/>
      </w:pPr>
      <w:r>
        <w:rPr>
          <w:rStyle w:val="VerbatimChar"/>
        </w:rPr>
        <w:t xml:space="preserve">Por tanto, en este proyecto definimos, y trataremos sobre, el riesgo técnico como aquellos que afectan a los objetivos de la Oficina de Arquitectura, a la tecnología, al software y a los servicios SOA del FNA, que se identifiquen dentro del ejercicio del flujo de trabajo de dicha oficina y en los proyectos de arquitctura que sus involucrados ejecuten.</w:t>
      </w:r>
    </w:p>
    <w:p>
      <w:pPr>
        <w:pStyle w:val="FirstParagraph"/>
      </w:pPr>
      <w:r>
        <w:t xml:space="preserve">Desde aquí consideramos el concepto de riesgo técnico de arquitectura FNA que se dan por las decisiones de diseño, selección y migración de tecnología, transición de arquitecturas, alineación funcional, sobrecosto de inversión TI, complejidad de la implementación, entre otros.</w:t>
      </w:r>
      <w:r>
        <w:t xml:space="preserve"> </w:t>
      </w:r>
      <w:r>
        <w:rPr>
          <w:iCs/>
          <w:i/>
        </w:rPr>
        <w:t xml:space="preserve">Es intencional que al hacer foco del tratamiento a estos aspectos de riesgos de las arquitecturas del FNA, la utilidad, calidad y efecticidad del repositorio de arquitectura, y la misma arquitectura del FNA mejorará</w:t>
      </w:r>
      <w:r>
        <w:t xml:space="preserve"> </w:t>
      </w:r>
      <w:r>
        <w:t xml:space="preserve">y su valor será evidente.</w:t>
      </w:r>
    </w:p>
    <w:bookmarkEnd w:id="49"/>
    <w:bookmarkEnd w:id="50"/>
    <w:bookmarkStart w:id="66" w:name="Xbeeac1d9492f835d29206469e9b272a8520816f"/>
    <w:p>
      <w:pPr>
        <w:pStyle w:val="Ttulo1"/>
      </w:pPr>
      <w:r>
        <w:t xml:space="preserve">Antecedentes de Riesgo Técnico de Arquitectura FNA</w:t>
      </w:r>
    </w:p>
    <w:p>
      <w:pPr>
        <w:pStyle w:val="FirstParagraph"/>
      </w:pPr>
      <w:r>
        <w:t xml:space="preserve">Para elaborar los antecedentes de los riesgos técnicos de arquitectura del FNA, sujetos del gobierno de este proyecto, tomaremos como base los análisis previamente realizados en el FNA durante la fase anterior de esta consultoría.</w:t>
      </w:r>
    </w:p>
    <w:bookmarkStart w:id="51" w:name="X1cb585b1af625715156098b43d8190e5f99cb6d"/>
    <w:p>
      <w:pPr>
        <w:pStyle w:val="Ttulo2"/>
      </w:pPr>
      <w:r>
        <w:t xml:space="preserve">Identificación de Riesgos Técnicos del FNA</w:t>
      </w:r>
    </w:p>
    <w:p>
      <w:pPr>
        <w:pStyle w:val="FirstParagraph"/>
      </w:pPr>
      <w:r>
        <w:t xml:space="preserve">Junto a esta complicación, que de por sí hace obligatoria la introdución de la figura del gobierno SOA en el Fondo, y que organizaciones como el OpenGroup señalan que se dan por la falta de Arquitectura SOA y Arquitectura Empresarial, y por consiguiente, por un débil gobierno SOA, se encuentran otras que fueron levantadas en la Fase 1 del presente diagnóstico: agilidad limitada, complejidad e imprecisión en la trazabilidad, ocultamiento de funcionalidades (ver</w:t>
      </w:r>
      <w:r>
        <w:t xml:space="preserve"> </w:t>
      </w:r>
      <w:hyperlink r:id="rId29">
        <w:r>
          <w:rPr>
            <w:rStyle w:val="Hipervnculo"/>
          </w:rPr>
          <w:t xml:space="preserve">04b.Resumen Fase 1</w:t>
        </w:r>
      </w:hyperlink>
      <w:r>
        <w:t xml:space="preserve">).</w:t>
      </w:r>
    </w:p>
    <w:p>
      <w:pPr>
        <w:pStyle w:val="Textoindependiente"/>
      </w:pPr>
      <w:r>
        <w:t xml:space="preserve">Los análisis siguientes dan cuenta de los riesgos técnicos hallados en Fase I.</w:t>
      </w:r>
    </w:p>
    <w:p>
      <w:pPr>
        <w:numPr>
          <w:ilvl w:val="0"/>
          <w:numId w:val="1006"/>
        </w:numPr>
        <w:pStyle w:val="Compact"/>
      </w:pPr>
      <w:r>
        <w:t xml:space="preserve">Análisis de Madurez SOA del FNA (OSIMM, Open Group; E-Service, Fase I, 2022)</w:t>
      </w:r>
    </w:p>
    <w:p>
      <w:pPr>
        <w:numPr>
          <w:ilvl w:val="0"/>
          <w:numId w:val="1006"/>
        </w:numPr>
        <w:pStyle w:val="Compact"/>
      </w:pPr>
      <w:r>
        <w:t xml:space="preserve">Análisis de Fortalezas/Debilidades SOA del FNA (SOA Patterns, Enterprise Integration Patterns; E-Service, Fase I, 2022)</w:t>
      </w:r>
    </w:p>
    <w:p>
      <w:pPr>
        <w:numPr>
          <w:ilvl w:val="0"/>
          <w:numId w:val="1006"/>
        </w:numPr>
        <w:pStyle w:val="Compact"/>
      </w:pPr>
      <w:r>
        <w:t xml:space="preserve">Oportunidades Relevantes SOA del FNA (BPTrends; E-Service, Fase I, 2022)</w:t>
      </w:r>
    </w:p>
    <w:p>
      <w:pPr>
        <w:numPr>
          <w:ilvl w:val="0"/>
          <w:numId w:val="1006"/>
        </w:numPr>
        <w:pStyle w:val="Compact"/>
      </w:pPr>
      <w:r>
        <w:t xml:space="preserve">Conclusiones Relevantes del Diagnóstico SOA del FNA (E-Service, Fase I, 2022)</w:t>
      </w:r>
    </w:p>
    <w:p>
      <w:pPr>
        <w:pStyle w:val="FirstParagraph"/>
      </w:pPr>
    </w:p>
    <w:p>
      <w:pPr>
        <w:pStyle w:val="Textoindependiente"/>
      </w:pPr>
      <w:r>
        <w:t xml:space="preserve">De los análisis nombrados extraemos siete áreas de riesgo técnico de arquitectura a considerar en este proyecto que consideramos como materia antecedente. El gobierno SOA del FNA debe contar con las capacidades, recursos y roles, funciones y procedimientos para medir y gestionar los riesgos que de estas provengan y que lo están afectando.</w:t>
      </w:r>
    </w:p>
    <w:p>
      <w:pPr>
        <w:numPr>
          <w:ilvl w:val="0"/>
          <w:numId w:val="1007"/>
        </w:numPr>
        <w:pStyle w:val="Compact"/>
      </w:pPr>
      <w:r>
        <w:t xml:space="preserve">R1. Riesgo de agilidad limitada (ver imagen 1)</w:t>
      </w:r>
    </w:p>
    <w:p>
      <w:pPr>
        <w:numPr>
          <w:ilvl w:val="0"/>
          <w:numId w:val="1007"/>
        </w:numPr>
        <w:pStyle w:val="Compact"/>
      </w:pPr>
      <w:r>
        <w:t xml:space="preserve">R2. Riesgo de baja orquestación SOA (ver imagen 2a y 2b)</w:t>
      </w:r>
    </w:p>
    <w:p>
      <w:pPr>
        <w:numPr>
          <w:ilvl w:val="0"/>
          <w:numId w:val="1007"/>
        </w:numPr>
        <w:pStyle w:val="Compact"/>
      </w:pPr>
      <w:r>
        <w:t xml:space="preserve">R3. Riesgo de crecimiento de dependencias entre servicios SOA</w:t>
      </w:r>
    </w:p>
    <w:p>
      <w:pPr>
        <w:numPr>
          <w:ilvl w:val="0"/>
          <w:numId w:val="1007"/>
        </w:numPr>
        <w:pStyle w:val="Compact"/>
      </w:pPr>
      <w:r>
        <w:t xml:space="preserve">R4. Riesgo de crecimiento de adaptadores particulares –opuesto al estándar– (ver imagen 3)</w:t>
      </w:r>
    </w:p>
    <w:p>
      <w:pPr>
        <w:numPr>
          <w:ilvl w:val="0"/>
          <w:numId w:val="1007"/>
        </w:numPr>
        <w:pStyle w:val="Compact"/>
      </w:pPr>
      <w:r>
        <w:t xml:space="preserve">R5. Riesgo de baja reutilización de servicios SOA</w:t>
      </w:r>
    </w:p>
    <w:p>
      <w:pPr>
        <w:numPr>
          <w:ilvl w:val="0"/>
          <w:numId w:val="1007"/>
        </w:numPr>
        <w:pStyle w:val="Compact"/>
      </w:pPr>
      <w:r>
        <w:t xml:space="preserve">R6. Riesgo de permanencia de silos (islas) de servicios SOA y aplicaciones</w:t>
      </w:r>
    </w:p>
    <w:p>
      <w:pPr>
        <w:numPr>
          <w:ilvl w:val="0"/>
          <w:numId w:val="1007"/>
        </w:numPr>
        <w:pStyle w:val="Compact"/>
      </w:pPr>
      <w:r>
        <w:t xml:space="preserve">R7. Riesgo de falta de trazabilidad para la evolución e implementación de los servicios SOA</w:t>
      </w:r>
    </w:p>
    <w:tbl>
      <w:tblPr>
        <w:tblStyle w:val="Table"/>
        <w:tblW w:type="pct" w:w="5000"/>
        <w:tblLook w:firstRow="1" w:lastRow="0" w:firstColumn="0" w:lastColumn="0" w:noHBand="0" w:noVBand="0" w:val="0020"/>
      </w:tblPr>
      <w:tblGrid>
        <w:gridCol w:w="1891"/>
        <w:gridCol w:w="6028"/>
      </w:tblGrid>
      <w:tr>
        <w:trPr>
          <w:tblHeader w:val="true"/>
        </w:trPr>
        <w:tc>
          <w:tcPr/>
          <w:p>
            <w:pPr>
              <w:pStyle w:val="Compact"/>
              <w:jc w:val="left"/>
            </w:pPr>
            <w:r>
              <w:t xml:space="preserve">Tema</w:t>
            </w:r>
          </w:p>
        </w:tc>
        <w:tc>
          <w:tcPr/>
          <w:p>
            <w:pPr>
              <w:pStyle w:val="Compact"/>
              <w:jc w:val="left"/>
            </w:pPr>
            <w:r>
              <w:t xml:space="preserve">Gobierno SOA:</w:t>
            </w:r>
            <w:r>
              <w:t xml:space="preserve"> </w:t>
            </w:r>
            <w:r>
              <w:rPr>
                <w:bCs/>
                <w:b/>
              </w:rPr>
              <w:t xml:space="preserve">Riesgos tecnológicos del FNA</w:t>
            </w:r>
          </w:p>
        </w:tc>
      </w:tr>
      <w:tr>
        <w:tc>
          <w:tcPr/>
          <w:p>
            <w:pPr>
              <w:pStyle w:val="Compact"/>
              <w:jc w:val="left"/>
            </w:pPr>
            <w:r>
              <w:t xml:space="preserve">Palabras clave</w:t>
            </w:r>
          </w:p>
        </w:tc>
        <w:tc>
          <w:tcPr/>
          <w:p>
            <w:pPr>
              <w:pStyle w:val="Compact"/>
              <w:jc w:val="left"/>
            </w:pPr>
            <w:r>
              <w:t xml:space="preserve">SOA, Gobierno, Riesgo, Objetivos de negocio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rPr>
                <w:bCs/>
                <w:b/>
              </w:rPr>
              <w:t xml:space="preserve">7241ad7</w:t>
            </w:r>
            <w:r>
              <w:t xml:space="preserve"> </w:t>
            </w:r>
            <w:r>
              <w:t xml:space="preserve">del 01 Jul 2023</w:t>
            </w:r>
          </w:p>
        </w:tc>
      </w:tr>
      <w:tr>
        <w:tc>
          <w:tcPr/>
          <w:p>
            <w:pPr>
              <w:pStyle w:val="Compact"/>
              <w:jc w:val="left"/>
            </w:pPr>
            <w:r>
              <w:t xml:space="preserve">Vínculos</w:t>
            </w:r>
          </w:p>
        </w:tc>
        <w:tc>
          <w:tcPr/>
          <w:p>
            <w:pPr>
              <w:pStyle w:val="Compact"/>
              <w:jc w:val="left"/>
            </w:pPr>
            <w:hyperlink r:id="rId29">
              <w:r>
                <w:rPr>
                  <w:rStyle w:val="Hipervnculo"/>
                </w:rPr>
                <w:t xml:space="preserve">Fase 2 PR6 Gobierno SOA</w:t>
              </w:r>
            </w:hyperlink>
          </w:p>
        </w:tc>
      </w:tr>
    </w:tbl>
    <w:p>
      <w:pPr>
        <w:pStyle w:val="Textoindependiente"/>
      </w:pPr>
    </w:p>
    <w:bookmarkEnd w:id="51"/>
    <w:bookmarkStart w:id="65" w:name="riesgos-tecnológicos-del-fna"/>
    <w:p>
      <w:pPr>
        <w:pStyle w:val="Ttulo2"/>
      </w:pPr>
      <w:r>
        <w:t xml:space="preserve">Riesgos Tecnológicos del FNA</w:t>
      </w:r>
    </w:p>
    <w:p>
      <w:pPr>
        <w:pStyle w:val="FirstParagraph"/>
      </w:pPr>
      <w:r>
        <w:t xml:space="preserve">Los riesgos tecnológicos encontrados en el diagnóstco SOA de Fase 1 (ver</w:t>
      </w:r>
      <w:r>
        <w:t xml:space="preserve"> </w:t>
      </w:r>
      <w:hyperlink r:id="rId29">
        <w:r>
          <w:rPr>
            <w:rStyle w:val="Hipervnculo"/>
          </w:rPr>
          <w:t xml:space="preserve">03.Fase 1 PR3 Resultado Diagnóstico Situación Actual</w:t>
        </w:r>
      </w:hyperlink>
      <w:r>
        <w:t xml:space="preserve">), y que describimos abajo, están incorporados a las vigilancias del gobierno SOA propuesto. A la vez, estos mismos riesgos descritos a continuación deben ser agregados a la matriz de gestión actual del Fondo, y gestionados por los métodos propios con los que ya cuenta el FNA.</w:t>
      </w:r>
    </w:p>
    <w:p>
      <w:pPr>
        <w:pStyle w:val="Textoindependiente"/>
      </w:pPr>
    </w:p>
    <w:bookmarkStart w:id="64" w:name="Xb16148173b312c3417e9191702cf1588a500394"/>
    <w:p>
      <w:pPr>
        <w:pStyle w:val="Ttulo3"/>
      </w:pPr>
      <w:r>
        <w:t xml:space="preserve">Gobierno SOA y Riesgos Tecnológicos del FNA</w:t>
      </w:r>
    </w:p>
    <w:p>
      <w:pPr>
        <w:pStyle w:val="FirstParagraph"/>
      </w:pPr>
      <w:r>
        <w:t xml:space="preserve">El gobierno SOA del FNA debe buscar la capacidad para medir y gestionar (agregar a la lista de riesgos de la empresa) los riesgos que lo están afectando.</w:t>
      </w:r>
    </w:p>
    <w:p>
      <w:pPr>
        <w:numPr>
          <w:ilvl w:val="0"/>
          <w:numId w:val="1008"/>
        </w:numPr>
        <w:pStyle w:val="Compact"/>
      </w:pPr>
      <w:r>
        <w:t xml:space="preserve">R1. Riesgo de agilidad limitada (ver imagen 1)</w:t>
      </w:r>
    </w:p>
    <w:p>
      <w:pPr>
        <w:numPr>
          <w:ilvl w:val="0"/>
          <w:numId w:val="1008"/>
        </w:numPr>
        <w:pStyle w:val="Compact"/>
      </w:pPr>
      <w:r>
        <w:t xml:space="preserve">R2. Riesgo de baja orquestación SOA (ver imagen 2a y 2b)</w:t>
      </w:r>
    </w:p>
    <w:p>
      <w:pPr>
        <w:numPr>
          <w:ilvl w:val="0"/>
          <w:numId w:val="1008"/>
        </w:numPr>
        <w:pStyle w:val="Compact"/>
      </w:pPr>
      <w:r>
        <w:t xml:space="preserve">R3. Riesgo de crecimiento de dependencias entre servicios SOA</w:t>
      </w:r>
    </w:p>
    <w:p>
      <w:pPr>
        <w:numPr>
          <w:ilvl w:val="0"/>
          <w:numId w:val="1008"/>
        </w:numPr>
        <w:pStyle w:val="Compact"/>
      </w:pPr>
      <w:r>
        <w:t xml:space="preserve">R4. Riesgo de crecimiento de adaptadores particulares –opuesto al estándar– (ver imagen 3)</w:t>
      </w:r>
    </w:p>
    <w:p>
      <w:pPr>
        <w:numPr>
          <w:ilvl w:val="0"/>
          <w:numId w:val="1008"/>
        </w:numPr>
        <w:pStyle w:val="Compact"/>
      </w:pPr>
      <w:r>
        <w:t xml:space="preserve">R5. Riesgo de baja reutilización de servicios SOA</w:t>
      </w:r>
    </w:p>
    <w:p>
      <w:pPr>
        <w:numPr>
          <w:ilvl w:val="0"/>
          <w:numId w:val="1008"/>
        </w:numPr>
        <w:pStyle w:val="Compact"/>
      </w:pPr>
      <w:r>
        <w:t xml:space="preserve">R6. Riesgo de permanencia de silos (islas) de servicios SOA y aplicaciones</w:t>
      </w:r>
    </w:p>
    <w:p>
      <w:pPr>
        <w:numPr>
          <w:ilvl w:val="0"/>
          <w:numId w:val="1008"/>
        </w:numPr>
        <w:pStyle w:val="Compact"/>
      </w:pPr>
      <w:r>
        <w:t xml:space="preserve">R7. Riesgo de falta de trazabilidad para la evolución e implementación de los servicios SOA</w:t>
      </w:r>
    </w:p>
    <w:p>
      <w:pPr>
        <w:pStyle w:val="FirstParagraph"/>
      </w:pPr>
    </w:p>
    <w:p>
      <w:pPr>
        <w:pStyle w:val="CaptionedFigure"/>
      </w:pPr>
      <w:r>
        <w:drawing>
          <wp:inline>
            <wp:extent cx="5600700" cy="2605986"/>
            <wp:effectExtent b="0" l="0" r="0" t="0"/>
            <wp:docPr descr="Riesgo no. 1 y 2. Agilidad limitada por el proliferación de la copmlejidad en los servicios SOA del Fondo" title="" id="53" name="Picture"/>
            <a:graphic>
              <a:graphicData uri="http://schemas.openxmlformats.org/drawingml/2006/picture">
                <pic:pic>
                  <pic:nvPicPr>
                    <pic:cNvPr descr="images/ESB-IBM.png" id="54" name="Picture"/>
                    <pic:cNvPicPr>
                      <a:picLocks noChangeArrowheads="1" noChangeAspect="1"/>
                    </pic:cNvPicPr>
                  </pic:nvPicPr>
                  <pic:blipFill>
                    <a:blip r:embed="rId52"/>
                    <a:stretch>
                      <a:fillRect/>
                    </a:stretch>
                  </pic:blipFill>
                  <pic:spPr bwMode="auto">
                    <a:xfrm>
                      <a:off x="0" y="0"/>
                      <a:ext cx="5600700" cy="2605986"/>
                    </a:xfrm>
                    <a:prstGeom prst="rect">
                      <a:avLst/>
                    </a:prstGeom>
                    <a:noFill/>
                    <a:ln w="9525">
                      <a:noFill/>
                      <a:headEnd/>
                      <a:tailEnd/>
                    </a:ln>
                  </pic:spPr>
                </pic:pic>
              </a:graphicData>
            </a:graphic>
          </wp:inline>
        </w:drawing>
      </w:r>
    </w:p>
    <w:p>
      <w:pPr>
        <w:pStyle w:val="ImageCaption"/>
      </w:pPr>
      <w:r>
        <w:t xml:space="preserve">Riesgo no. 1 y 2. Agilidad limitada por el proliferación de la copmlejidad en los servicios SOA del Fondo</w:t>
      </w:r>
    </w:p>
    <w:p>
      <w:pPr>
        <w:pStyle w:val="Textoindependiente"/>
      </w:pPr>
      <w:r>
        <w:rPr>
          <w:iCs/>
          <w:i/>
        </w:rPr>
        <w:t xml:space="preserve">Fuente: elaboración propia, ae_fna_as_is.archimate.</w:t>
      </w:r>
    </w:p>
    <w:p>
      <w:pPr>
        <w:pStyle w:val="Textoindependiente"/>
      </w:pPr>
    </w:p>
    <w:p>
      <w:pPr>
        <w:pStyle w:val="CaptionedFigure"/>
      </w:pPr>
      <w:r>
        <w:drawing>
          <wp:inline>
            <wp:extent cx="5600700" cy="3464205"/>
            <wp:effectExtent b="0" l="0" r="0" t="0"/>
            <wp:docPr descr="Riesgo no. 2. En el modelo “ae_fna_as_is.archimate” de situación actual del FNA no aparecen relaciones de este con los procesos de negocio. La principal utilización del bus (ESB-IBM, en la imagen) está destinada a la integración de aplicaciones." title="" id="56" name="Picture"/>
            <a:graphic>
              <a:graphicData uri="http://schemas.openxmlformats.org/drawingml/2006/picture">
                <pic:pic>
                  <pic:nvPicPr>
                    <pic:cNvPr descr="images/esb-procesos.png" id="57" name="Picture"/>
                    <pic:cNvPicPr>
                      <a:picLocks noChangeArrowheads="1" noChangeAspect="1"/>
                    </pic:cNvPicPr>
                  </pic:nvPicPr>
                  <pic:blipFill>
                    <a:blip r:embed="rId55"/>
                    <a:stretch>
                      <a:fillRect/>
                    </a:stretch>
                  </pic:blipFill>
                  <pic:spPr bwMode="auto">
                    <a:xfrm>
                      <a:off x="0" y="0"/>
                      <a:ext cx="5600700" cy="3464205"/>
                    </a:xfrm>
                    <a:prstGeom prst="rect">
                      <a:avLst/>
                    </a:prstGeom>
                    <a:noFill/>
                    <a:ln w="9525">
                      <a:noFill/>
                      <a:headEnd/>
                      <a:tailEnd/>
                    </a:ln>
                  </pic:spPr>
                </pic:pic>
              </a:graphicData>
            </a:graphic>
          </wp:inline>
        </w:drawing>
      </w:r>
    </w:p>
    <w:p>
      <w:pPr>
        <w:pStyle w:val="ImageCaption"/>
      </w:pPr>
      <w:r>
        <w:t xml:space="preserve">Riesgo no. 2. En el modelo</w:t>
      </w:r>
      <w:r>
        <w:t xml:space="preserve"> </w:t>
      </w:r>
      <w:r>
        <w:t xml:space="preserve">“</w:t>
      </w:r>
      <w:r>
        <w:t xml:space="preserve">ae_fna_as_is.archimate</w:t>
      </w:r>
      <w:r>
        <w:t xml:space="preserve">”</w:t>
      </w:r>
      <w:r>
        <w:t xml:space="preserve"> </w:t>
      </w:r>
      <w:r>
        <w:t xml:space="preserve">de situación actual del FNA no aparecen relaciones de este con los procesos de negocio. La principal utilización del bus (ESB-IBM, en la imagen) está destinada a la integración de aplicaciones.</w:t>
      </w:r>
    </w:p>
    <w:p>
      <w:pPr>
        <w:pStyle w:val="Textoindependiente"/>
      </w:pPr>
      <w:r>
        <w:rPr>
          <w:iCs/>
          <w:i/>
        </w:rPr>
        <w:t xml:space="preserve">Fuente: ae_fna_as_is.archimate.</w:t>
      </w:r>
    </w:p>
    <w:p>
      <w:pPr>
        <w:pStyle w:val="Textoindependiente"/>
      </w:pPr>
    </w:p>
    <w:p>
      <w:pPr>
        <w:pStyle w:val="CaptionedFigure"/>
      </w:pPr>
      <w:r>
        <w:drawing>
          <wp:inline>
            <wp:extent cx="5600700" cy="2872523"/>
            <wp:effectExtent b="0" l="0" r="0" t="0"/>
            <wp:docPr descr="En el modelo “ae_fna_as_is.archimate” no es posible encontrar relaciones del bus con los procesos." title="" id="59" name="Picture"/>
            <a:graphic>
              <a:graphicData uri="http://schemas.openxmlformats.org/drawingml/2006/picture">
                <pic:pic>
                  <pic:nvPicPr>
                    <pic:cNvPr descr="images/ESB-IBM-2.png" id="60" name="Picture"/>
                    <pic:cNvPicPr>
                      <a:picLocks noChangeArrowheads="1" noChangeAspect="1"/>
                    </pic:cNvPicPr>
                  </pic:nvPicPr>
                  <pic:blipFill>
                    <a:blip r:embed="rId58"/>
                    <a:stretch>
                      <a:fillRect/>
                    </a:stretch>
                  </pic:blipFill>
                  <pic:spPr bwMode="auto">
                    <a:xfrm>
                      <a:off x="0" y="0"/>
                      <a:ext cx="5600700" cy="2872523"/>
                    </a:xfrm>
                    <a:prstGeom prst="rect">
                      <a:avLst/>
                    </a:prstGeom>
                    <a:noFill/>
                    <a:ln w="9525">
                      <a:noFill/>
                      <a:headEnd/>
                      <a:tailEnd/>
                    </a:ln>
                  </pic:spPr>
                </pic:pic>
              </a:graphicData>
            </a:graphic>
          </wp:inline>
        </w:drawing>
      </w:r>
    </w:p>
    <w:p>
      <w:pPr>
        <w:pStyle w:val="ImageCaption"/>
      </w:pPr>
      <w:r>
        <w:t xml:space="preserve">En el modelo</w:t>
      </w:r>
      <w:r>
        <w:t xml:space="preserve"> </w:t>
      </w:r>
      <w:r>
        <w:t xml:space="preserve">“</w:t>
      </w:r>
      <w:r>
        <w:t xml:space="preserve">ae_fna_as_is.archimate</w:t>
      </w:r>
      <w:r>
        <w:t xml:space="preserve">”</w:t>
      </w:r>
      <w:r>
        <w:t xml:space="preserve"> </w:t>
      </w:r>
      <w:r>
        <w:t xml:space="preserve">no es posible encontrar relaciones del bus con los procesos.</w:t>
      </w:r>
    </w:p>
    <w:p>
      <w:pPr>
        <w:pStyle w:val="Textoindependiente"/>
      </w:pPr>
      <w:r>
        <w:rPr>
          <w:iCs/>
          <w:i/>
        </w:rPr>
        <w:t xml:space="preserve">Fuente: ae_fna_as_is.archimate.</w:t>
      </w:r>
    </w:p>
    <w:p>
      <w:pPr>
        <w:pStyle w:val="Textoindependiente"/>
      </w:pPr>
    </w:p>
    <w:p>
      <w:pPr>
        <w:pStyle w:val="CaptionedFigure"/>
      </w:pPr>
      <w:r>
        <w:drawing>
          <wp:inline>
            <wp:extent cx="5600700" cy="1808696"/>
            <wp:effectExtent b="0" l="0" r="0" t="0"/>
            <wp:docPr descr="Riesgo no. 4 y 5. Caso de CRM del FNA. Le afecta el riesgo de estándarización en la interoperabilidad, aumenta la cantidad de adaptadores particulares." title="" id="62" name="Picture"/>
            <a:graphic>
              <a:graphicData uri="http://schemas.openxmlformats.org/drawingml/2006/picture">
                <pic:pic>
                  <pic:nvPicPr>
                    <pic:cNvPr descr="images/CRM.png" id="63" name="Picture"/>
                    <pic:cNvPicPr>
                      <a:picLocks noChangeArrowheads="1" noChangeAspect="1"/>
                    </pic:cNvPicPr>
                  </pic:nvPicPr>
                  <pic:blipFill>
                    <a:blip r:embed="rId61"/>
                    <a:stretch>
                      <a:fillRect/>
                    </a:stretch>
                  </pic:blipFill>
                  <pic:spPr bwMode="auto">
                    <a:xfrm>
                      <a:off x="0" y="0"/>
                      <a:ext cx="5600700" cy="1808696"/>
                    </a:xfrm>
                    <a:prstGeom prst="rect">
                      <a:avLst/>
                    </a:prstGeom>
                    <a:noFill/>
                    <a:ln w="9525">
                      <a:noFill/>
                      <a:headEnd/>
                      <a:tailEnd/>
                    </a:ln>
                  </pic:spPr>
                </pic:pic>
              </a:graphicData>
            </a:graphic>
          </wp:inline>
        </w:drawing>
      </w:r>
    </w:p>
    <w:p>
      <w:pPr>
        <w:pStyle w:val="ImageCaption"/>
      </w:pPr>
      <w:r>
        <w:t xml:space="preserve">Riesgo no. 4 y 5. Caso de CRM del FNA. Le afecta el riesgo de estándarización en la interoperabilidad, aumenta la cantidad de adaptadores particulares.</w:t>
      </w:r>
    </w:p>
    <w:p>
      <w:pPr>
        <w:pStyle w:val="Textoindependiente"/>
      </w:pPr>
      <w:r>
        <w:rPr>
          <w:iCs/>
          <w:i/>
        </w:rPr>
        <w:t xml:space="preserve">Fuente: ae_fna_as_is.archimate.</w:t>
      </w:r>
    </w:p>
    <w:bookmarkEnd w:id="64"/>
    <w:bookmarkEnd w:id="65"/>
    <w:bookmarkEnd w:id="66"/>
    <w:bookmarkStart w:id="71" w:name="Xda7f5ed936af8f368d8a826bd80c4e8c21af36c"/>
    <w:p>
      <w:pPr>
        <w:pStyle w:val="Ttulo1"/>
      </w:pPr>
      <w:r>
        <w:t xml:space="preserve">Modelos de Gobiernos con Gestión de Riesgos Técnicos (versión 0.6)</w:t>
      </w:r>
    </w:p>
    <w:bookmarkStart w:id="0" w:name="fig:7400715f-2352-43d9-b7b9-f01eeaf0b999"/>
    <w:p>
      <w:pPr>
        <w:pStyle w:val="CaptionedFigure"/>
      </w:pPr>
      <w:bookmarkStart w:id="70" w:name="fig:"/>
      <w:r>
        <w:drawing>
          <wp:inline>
            <wp:extent cx="5600700" cy="3992650"/>
            <wp:effectExtent b="0" l="0" r="0" t="0"/>
            <wp:docPr descr="Imagen 3: Modelo de gobierno SOA del FNA, versión 0.6. Incorpora las actividades de gestión de riesgo, y las capaciddes del repositorio de arquitectura." title="" id="68" name="Picture"/>
            <a:graphic>
              <a:graphicData uri="http://schemas.openxmlformats.org/drawingml/2006/picture">
                <pic:pic>
                  <pic:nvPicPr>
                    <pic:cNvPr descr="images/modelogob05-riesgos.png" id="69" name="Picture"/>
                    <pic:cNvPicPr>
                      <a:picLocks noChangeArrowheads="1" noChangeAspect="1"/>
                    </pic:cNvPicPr>
                  </pic:nvPicPr>
                  <pic:blipFill>
                    <a:blip r:embed="rId67"/>
                    <a:stretch>
                      <a:fillRect/>
                    </a:stretch>
                  </pic:blipFill>
                  <pic:spPr bwMode="auto">
                    <a:xfrm>
                      <a:off x="0" y="0"/>
                      <a:ext cx="5600700" cy="3992650"/>
                    </a:xfrm>
                    <a:prstGeom prst="rect">
                      <a:avLst/>
                    </a:prstGeom>
                    <a:noFill/>
                    <a:ln w="9525">
                      <a:noFill/>
                      <a:headEnd/>
                      <a:tailEnd/>
                    </a:ln>
                  </pic:spPr>
                </pic:pic>
              </a:graphicData>
            </a:graphic>
          </wp:inline>
        </w:drawing>
      </w:r>
      <w:bookmarkEnd w:id="70"/>
    </w:p>
    <w:p>
      <w:pPr>
        <w:pStyle w:val="ImageCaption"/>
      </w:pPr>
      <w:r>
        <w:t xml:space="preserve">Imagen 3: Modelo de gobierno SOA del FNA, versión 0.6. Incorpora las actividades de gestión de riesgo, y las capaciddes del repositorio de arquitectura.</w:t>
      </w:r>
    </w:p>
    <w:bookmarkEnd w:id="0"/>
    <w:p>
      <w:pPr>
        <w:pStyle w:val="Textoindependiente"/>
      </w:pPr>
      <w:r>
        <w:rPr>
          <w:iCs/>
          <w:i/>
        </w:rPr>
        <w:t xml:space="preserve">Fuente: Diagnóstico SOA. E-Service (2022).</w:t>
      </w:r>
    </w:p>
    <w:p>
      <w:pPr>
        <w:pStyle w:val="Textoindependiente"/>
      </w:pPr>
    </w:p>
    <w:p>
      <w:pPr>
        <w:pStyle w:val="Textoindependiente"/>
      </w:pPr>
      <w:r>
        <w:t xml:space="preserve">05c.modelo riesgo</w:t>
      </w:r>
    </w:p>
    <w:tbl>
      <w:tblPr>
        <w:tblStyle w:val="Table"/>
        <w:tblW w:type="pct" w:w="5000"/>
        <w:tblLook w:firstRow="1" w:lastRow="0" w:firstColumn="0" w:lastColumn="0" w:noHBand="0" w:noVBand="0" w:val="0020"/>
      </w:tblPr>
      <w:tblGrid>
        <w:gridCol w:w="1604"/>
        <w:gridCol w:w="6315"/>
      </w:tblGrid>
      <w:tr>
        <w:trPr>
          <w:tblHeader w:val="true"/>
        </w:trPr>
        <w:tc>
          <w:tcPr/>
          <w:p>
            <w:pPr>
              <w:pStyle w:val="Compact"/>
              <w:jc w:val="left"/>
            </w:pPr>
            <w:r>
              <w:t xml:space="preserve">Tema</w:t>
            </w:r>
          </w:p>
        </w:tc>
        <w:tc>
          <w:tcPr/>
          <w:p>
            <w:pPr>
              <w:pStyle w:val="Compact"/>
              <w:jc w:val="left"/>
            </w:pPr>
            <w:r>
              <w:t xml:space="preserve">Gobierno SOA del FNA:</w:t>
            </w:r>
            <w:r>
              <w:t xml:space="preserve"> </w:t>
            </w:r>
            <w:r>
              <w:rPr>
                <w:bCs/>
                <w:b/>
              </w:rPr>
              <w:t xml:space="preserve">Modelamiento del riesgo técnico del FNA (Oficina de Arquitectura FNA)</w:t>
            </w:r>
          </w:p>
        </w:tc>
      </w:tr>
      <w:tr>
        <w:tc>
          <w:tcPr/>
          <w:p>
            <w:pPr>
              <w:pStyle w:val="Compact"/>
              <w:jc w:val="left"/>
            </w:pPr>
            <w:r>
              <w:t xml:space="preserve">Palabras clave</w:t>
            </w:r>
          </w:p>
        </w:tc>
        <w:tc>
          <w:tcPr/>
          <w:p>
            <w:pPr>
              <w:pStyle w:val="Compact"/>
              <w:jc w:val="left"/>
            </w:pPr>
            <w:r>
              <w:t xml:space="preserve">SOA, Riesgo técnico, Modelo, Arquitectura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1.7241ad7</w:t>
            </w:r>
            <w:r>
              <w:t xml:space="preserve"> </w:t>
            </w:r>
            <w:r>
              <w:t xml:space="preserve">del 01 Jul 2023</w:t>
            </w:r>
          </w:p>
        </w:tc>
      </w:tr>
      <w:tr>
        <w:tc>
          <w:tcPr/>
          <w:p>
            <w:pPr>
              <w:pStyle w:val="Compact"/>
              <w:jc w:val="left"/>
            </w:pPr>
            <w:r>
              <w:t xml:space="preserve">Vínculos</w:t>
            </w:r>
          </w:p>
        </w:tc>
        <w:tc>
          <w:tcPr/>
          <w:p>
            <w:pPr>
              <w:pStyle w:val="Compact"/>
              <w:jc w:val="left"/>
            </w:pPr>
            <w:hyperlink r:id="rId46">
              <w:r>
                <w:rPr>
                  <w:rStyle w:val="Hipervnculo"/>
                </w:rPr>
                <w:t xml:space="preserve">Ejecución Plan de Trabajo SOA</w:t>
              </w:r>
            </w:hyperlink>
            <w:r>
              <w:t xml:space="preserve">;</w:t>
            </w:r>
            <w:r>
              <w:t xml:space="preserve"> </w:t>
            </w:r>
            <w:hyperlink r:id="rId47">
              <w:r>
                <w:rPr>
                  <w:rStyle w:val="Hipervnculo"/>
                </w:rPr>
                <w:t xml:space="preserve">Procesos de Negocio FNA</w:t>
              </w:r>
            </w:hyperlink>
          </w:p>
        </w:tc>
      </w:tr>
    </w:tbl>
    <w:p>
      <w:pPr>
        <w:pStyle w:val="Textoindependiente"/>
      </w:pPr>
    </w:p>
    <w:bookmarkEnd w:id="71"/>
    <w:bookmarkStart w:id="76" w:name="referencias"/>
    <w:p>
      <w:pPr>
        <w:pStyle w:val="Ttulo1"/>
      </w:pPr>
      <w:r>
        <w:t xml:space="preserve">Referencias</w:t>
      </w:r>
    </w:p>
    <w:bookmarkStart w:id="72" w:name="refs"/>
    <w:p>
      <w:pPr>
        <w:pStyle w:val="Bibliography"/>
      </w:pPr>
      <w:r>
        <w:t xml:space="preserve">E-Service. Situación SOA Actual del FNA. Etapa I. (2022).</w:t>
      </w:r>
    </w:p>
    <w:bookmarkEnd w:id="72"/>
    <w:bookmarkStart w:id="73" w:name="refs"/>
    <w:p>
      <w:pPr>
        <w:pStyle w:val="Bibliography"/>
      </w:pPr>
      <w:r>
        <w:t xml:space="preserve">E-Service. Arquitectura de Referencia del FNA. Etapa II. (2023).</w:t>
      </w:r>
    </w:p>
    <w:bookmarkEnd w:id="73"/>
    <w:bookmarkStart w:id="74" w:name="refs"/>
    <w:p>
      <w:pPr>
        <w:pStyle w:val="Bibliography"/>
      </w:pPr>
      <w:r>
        <w:t xml:space="preserve">E-Service. Hoja de Ruta e Iniciativas. Etapa III. (2023).</w:t>
      </w:r>
    </w:p>
    <w:bookmarkEnd w:id="74"/>
    <w:bookmarkStart w:id="75" w:name="refs"/>
    <w:p>
      <w:pPr>
        <w:pStyle w:val="Bibliography"/>
      </w:pPr>
      <w:r>
        <w:t xml:space="preserve">TOGAF 9.1. Risk Management (2023). En https://pubs.opengroup.org/architecture/togaf9-doc/arch/chap27.html</w:t>
      </w:r>
    </w:p>
    <w:bookmarkEnd w:id="75"/>
    <w:bookmarkEnd w:id="76"/>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n-US"/>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n-U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n-US"/>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n-U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61" Target="media/rId61.png" /><Relationship Type="http://schemas.openxmlformats.org/officeDocument/2006/relationships/image" Id="rId58" Target="media/rId58.png" /><Relationship Type="http://schemas.openxmlformats.org/officeDocument/2006/relationships/image" Id="rId52" Target="media/rId52.png" /><Relationship Type="http://schemas.openxmlformats.org/officeDocument/2006/relationships/image" Id="rId55" Target="media/rId55.png" /><Relationship Type="http://schemas.openxmlformats.org/officeDocument/2006/relationships/image" Id="rId67" Target="media/rId67.png" /><Relationship Type="http://schemas.openxmlformats.org/officeDocument/2006/relationships/image" Id="rId34" Target="media/rId34.jpg"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20" Target="https://hwong23.github.io/fna-dd-f2-e2/v/7241ad7e1ffac23d628ec5c78e8417ab00237b40/"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46" Target="onenote:#N001d.sharepoint.com" TargetMode="External" /><Relationship Type="http://schemas.openxmlformats.org/officeDocument/2006/relationships/hyperlink" Id="rId47" Target="onenote:#N003a.com" TargetMode="External" /></Relationships>
</file>

<file path=word/_rels/footnotes.xml.rels><?xml version="1.0" encoding="UTF-8"?><Relationships xmlns="http://schemas.openxmlformats.org/package/2006/relationships"><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20" Target="https://hwong23.github.io/fna-dd-f2-e2/v/7241ad7e1ffac23d628ec5c78e8417ab00237b40/"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46" Target="onenote:#N001d.sharepoint.com" TargetMode="External" /><Relationship Type="http://schemas.openxmlformats.org/officeDocument/2006/relationships/hyperlink" Id="rId47" Target="onenote:#N003a.com"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Etapa 2. Ejecución Gobierno. Incremento 1</dc:title>
  <dc:creator/>
  <dc:language>en-US</dc:language>
  <cp:keywords>SOA, madurez, gobierno, FNA</cp:keywords>
  <dcterms:created xsi:type="dcterms:W3CDTF">2023-07-01T17:50:02Z</dcterms:created>
  <dcterms:modified xsi:type="dcterms:W3CDTF">2023-07-01T17:50:02Z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2023-07-01</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tablenos-caption-name">
    <vt:lpwstr>Tabla</vt:lpwstr>
  </property>
</Properties>
</file>