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png" ContentType="image/png"/>
  <Override PartName="/word/media/rId58.png" ContentType="image/png"/>
  <Override PartName="/word/media/rId52.png" ContentType="image/png"/>
  <Override PartName="/word/media/rId55.png" ContentType="image/png"/>
  <Override PartName="/word/media/rId67.png" ContentType="image/png"/>
  <Override PartName="/word/media/rId3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STEF@848dfe0</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1.848dfe0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1.848dfe0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1.848dfe0</w:t>
      </w:r>
    </w:p>
    <w:p>
      <w:pPr>
        <w:pStyle w:val="FirstParagraph"/>
      </w:pPr>
    </w:p>
    <w:bookmarkEnd w:id="30"/>
    <w:bookmarkStart w:id="39"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1"/>
    <w:bookmarkStart w:id="32" w:name="contenidos"/>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3"/>
    <w:bookmarkStart w:id="38" w:name="modelo-de-implementación-del-pry01"/>
    <w:p>
      <w:pPr>
        <w:pStyle w:val="Ttulo2"/>
      </w:pPr>
      <w:r>
        <w:t xml:space="preserve">Modelo de Implementación del PRY01</w:t>
      </w:r>
    </w:p>
    <w:bookmarkStart w:id="0" w:name="fig:3fd32b1c-a3f6-4c64-8d2f-16464a13e746"/>
    <w:p>
      <w:pPr>
        <w:pStyle w:val="CaptionedFigure"/>
      </w:pPr>
      <w:bookmarkStart w:id="37" w:name="fig:"/>
      <w:r>
        <w:drawing>
          <wp:inline>
            <wp:extent cx="5600700" cy="4499951"/>
            <wp:effectExtent b="0" l="0" r="0" t="0"/>
            <wp:docPr descr="Imagen 1: Plan de Implementación del Proyecto Gobierno SOA del FNA (PRY01), 2023. Junio 2023 a juli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pict>
          <v:rect style="width:0;height:1.5pt" o:hralign="center" o:hrstd="t" o:hr="t"/>
        </w:pict>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1.848dfe0</w:t>
      </w:r>
    </w:p>
    <w:p>
      <w:pPr>
        <w:pStyle w:val="FirstParagraph"/>
      </w:pPr>
    </w:p>
    <w:bookmarkEnd w:id="38"/>
    <w:bookmarkEnd w:id="39"/>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0"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0"/>
    <w:bookmarkStart w:id="41" w:name="contenidos-1"/>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1"/>
    <w:bookmarkStart w:id="42"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2"/>
    <w:bookmarkStart w:id="48" w:name="modelo-de-implementación-del-pry01-1"/>
    <w:p>
      <w:pPr>
        <w:pStyle w:val="Ttulo2"/>
      </w:pPr>
      <w:r>
        <w:t xml:space="preserve">Modelo de Implementación del PRY01</w:t>
      </w:r>
    </w:p>
    <w:bookmarkStart w:id="0" w:name="fig:62490b62-a2eb-45ee-8924-3c72b48abffc"/>
    <w:p>
      <w:pPr>
        <w:pStyle w:val="CaptionedFigure"/>
      </w:pPr>
      <w:bookmarkStart w:id="45" w:name="fig:"/>
      <w:r>
        <w:drawing>
          <wp:inline>
            <wp:extent cx="5600700" cy="4499951"/>
            <wp:effectExtent b="0" l="0" r="0" t="0"/>
            <wp:docPr descr="Imagen 2: Plan de Implementación del Proyecto Gobierno SOA del FNA (PRY01), 2023. Junio 2023 a julio 2023" title="" id="43" name="Picture"/>
            <a:graphic>
              <a:graphicData uri="http://schemas.openxmlformats.org/drawingml/2006/picture">
                <pic:pic>
                  <pic:nvPicPr>
                    <pic:cNvPr descr="images/pry1gobierno.jpg" id="44"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45"/>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1.848dfe0</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48"/>
    <w:bookmarkStart w:id="49"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49"/>
    <w:bookmarkEnd w:id="50"/>
    <w:bookmarkStart w:id="5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aquí extraemos trece áreas de riesgo técnico de arquitectura a considerar en este proyecto. El gobierno SOA del FNA debe buscar las capacidades internas para medir y gestionar tales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bookmarkEnd w:id="51"/>
    <w:bookmarkStart w:id="66" w:name="X1cb585b1af625715156098b43d8190e5f99cb6d"/>
    <w:p>
      <w:pPr>
        <w:pStyle w:val="Ttulo1"/>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848dfe0</w:t>
            </w:r>
            <w:r>
              <w:t xml:space="preserve"> </w:t>
            </w:r>
            <w:r>
              <w:t xml:space="preserve">del 30 Jun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Start w:id="65" w:name="riesgos-tecnológicos-del-fna"/>
    <w:p>
      <w:pPr>
        <w:pStyle w:val="Ttulo2"/>
      </w:pPr>
      <w:r>
        <w:t xml:space="preserve">Riesgos Tecnológicos del FNA</w:t>
      </w:r>
    </w:p>
    <w:p>
      <w:pPr>
        <w:pStyle w:val="FirstParagraph"/>
      </w:pPr>
      <w:r>
        <w:t xml:space="preserve">Los riesgos tecnológicos encontrados en el diagnóstco SOA de Fase 1 (ver</w:t>
      </w:r>
      <w:r>
        <w:t xml:space="preserve"> </w:t>
      </w:r>
      <w:hyperlink r:id="rId29">
        <w:r>
          <w:rPr>
            <w:rStyle w:val="Hipervnculo"/>
          </w:rPr>
          <w:t xml:space="preserve">03.Fase 1 PR3 Resultado Diagnóstico Situación Actual</w:t>
        </w:r>
      </w:hyperlink>
      <w:r>
        <w:t xml:space="preserve">), y que describimos abajo, están incorporados a las vigilancias del gobierno SOA propuesto. A la vez, estos mismos riesgos descritos a continuación deben ser agregados a la matriz de gestión actual del Fondo, y gestionados por los métodos propios con los que ya cuenta el FNA.</w:t>
      </w:r>
    </w:p>
    <w:p>
      <w:pPr>
        <w:pStyle w:val="Textoindependiente"/>
      </w:pPr>
    </w:p>
    <w:bookmarkStart w:id="64" w:name="Xb16148173b312c3417e9191702cf1588a500394"/>
    <w:p>
      <w:pPr>
        <w:pStyle w:val="Ttulo3"/>
      </w:pPr>
      <w:r>
        <w:t xml:space="preserve">Gobierno SOA y Riesgos Tecnológicos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8"/>
        </w:numPr>
        <w:pStyle w:val="Compact"/>
      </w:pPr>
      <w:r>
        <w:t xml:space="preserve">R1. Riesgo de agilidad limitada (ver imagen 1)</w:t>
      </w:r>
    </w:p>
    <w:p>
      <w:pPr>
        <w:numPr>
          <w:ilvl w:val="0"/>
          <w:numId w:val="1008"/>
        </w:numPr>
        <w:pStyle w:val="Compact"/>
      </w:pPr>
      <w:r>
        <w:t xml:space="preserve">R2. Riesgo de baja orquestación SOA (ver imagen 2a y 2b)</w:t>
      </w:r>
    </w:p>
    <w:p>
      <w:pPr>
        <w:numPr>
          <w:ilvl w:val="0"/>
          <w:numId w:val="1008"/>
        </w:numPr>
        <w:pStyle w:val="Compact"/>
      </w:pPr>
      <w:r>
        <w:t xml:space="preserve">R3. Riesgo de crecimiento de dependencias entre servicios SOA</w:t>
      </w:r>
    </w:p>
    <w:p>
      <w:pPr>
        <w:numPr>
          <w:ilvl w:val="0"/>
          <w:numId w:val="1008"/>
        </w:numPr>
        <w:pStyle w:val="Compact"/>
      </w:pPr>
      <w:r>
        <w:t xml:space="preserve">R4. Riesgo de crecimiento de adaptadores particulares –opuesto al estándar– (ver imagen 3)</w:t>
      </w:r>
    </w:p>
    <w:p>
      <w:pPr>
        <w:numPr>
          <w:ilvl w:val="0"/>
          <w:numId w:val="1008"/>
        </w:numPr>
        <w:pStyle w:val="Compact"/>
      </w:pPr>
      <w:r>
        <w:t xml:space="preserve">R5. Riesgo de baja reutilización de servicios SOA</w:t>
      </w:r>
    </w:p>
    <w:p>
      <w:pPr>
        <w:numPr>
          <w:ilvl w:val="0"/>
          <w:numId w:val="1008"/>
        </w:numPr>
        <w:pStyle w:val="Compact"/>
      </w:pPr>
      <w:r>
        <w:t xml:space="preserve">R6. Riesgo de permanencia de silos (islas) de servicios SOA y aplicaciones</w:t>
      </w:r>
    </w:p>
    <w:p>
      <w:pPr>
        <w:numPr>
          <w:ilvl w:val="0"/>
          <w:numId w:val="1008"/>
        </w:numPr>
        <w:pStyle w:val="Compact"/>
      </w:pPr>
      <w:r>
        <w:t xml:space="preserve">R7. Riesgo de falta de trazabilidad para la evolución e implementación de los servicios SOA</w:t>
      </w:r>
    </w:p>
    <w:p>
      <w:pPr>
        <w:pStyle w:val="FirstParagraph"/>
      </w:pPr>
    </w:p>
    <w:p>
      <w:pPr>
        <w:pStyle w:val="CaptionedFigure"/>
      </w:pPr>
      <w:r>
        <w:drawing>
          <wp:inline>
            <wp:extent cx="5600700" cy="2605986"/>
            <wp:effectExtent b="0" l="0" r="0" t="0"/>
            <wp:docPr descr="Riesgo no. 1 y 2. Agilidad limitada por el proliferación de la copmlejidad en los servicios SOA del Fondo" title="" id="53" name="Picture"/>
            <a:graphic>
              <a:graphicData uri="http://schemas.openxmlformats.org/drawingml/2006/picture">
                <pic:pic>
                  <pic:nvPicPr>
                    <pic:cNvPr descr="images/ESB-IBM.png" id="54" name="Picture"/>
                    <pic:cNvPicPr>
                      <a:picLocks noChangeArrowheads="1" noChangeAspect="1"/>
                    </pic:cNvPicPr>
                  </pic:nvPicPr>
                  <pic:blipFill>
                    <a:blip r:embed="rId52"/>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En el modelo “ae_fna_as_is.archimate” de situación actual del FNA no aparecen relaciones de este con los procesos de negocio. La principal utilización del bus (ESB-IBM, en la imagen) está destinada a la integración de aplicaciones." title="" id="56" name="Picture"/>
            <a:graphic>
              <a:graphicData uri="http://schemas.openxmlformats.org/drawingml/2006/picture">
                <pic:pic>
                  <pic:nvPicPr>
                    <pic:cNvPr descr="images/esb-procesos.png" id="57" name="Picture"/>
                    <pic:cNvPicPr>
                      <a:picLocks noChangeArrowheads="1" noChangeAspect="1"/>
                    </pic:cNvPicPr>
                  </pic:nvPicPr>
                  <pic:blipFill>
                    <a:blip r:embed="rId55"/>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En el modelo</w:t>
      </w:r>
      <w:r>
        <w:t xml:space="preserve"> </w:t>
      </w:r>
      <w:r>
        <w:t xml:space="preserve">“</w:t>
      </w:r>
      <w:r>
        <w:t xml:space="preserve">ae_fna_as_is.archimate</w:t>
      </w:r>
      <w:r>
        <w:t xml:space="preserve">”</w:t>
      </w:r>
      <w:r>
        <w:t xml:space="preserve"> </w:t>
      </w:r>
      <w:r>
        <w:t xml:space="preserve">de situación actual del FNA no aparecen relaciones de este con los procesos de negocio. La principal utilización del bus (ESB-IBM, en la imagen) está destinada a la integración de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En el modelo “ae_fna_as_is.archimate” no es posible encontrar relaciones del bus con los procesos." title="" id="59" name="Picture"/>
            <a:graphic>
              <a:graphicData uri="http://schemas.openxmlformats.org/drawingml/2006/picture">
                <pic:pic>
                  <pic:nvPicPr>
                    <pic:cNvPr descr="images/ESB-IBM-2.png" id="60" name="Picture"/>
                    <pic:cNvPicPr>
                      <a:picLocks noChangeArrowheads="1" noChangeAspect="1"/>
                    </pic:cNvPicPr>
                  </pic:nvPicPr>
                  <pic:blipFill>
                    <a:blip r:embed="rId58"/>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aumenta la cantidad de adaptadores particulares." title="" id="62" name="Picture"/>
            <a:graphic>
              <a:graphicData uri="http://schemas.openxmlformats.org/drawingml/2006/picture">
                <pic:pic>
                  <pic:nvPicPr>
                    <pic:cNvPr descr="images/CRM.png" id="63" name="Picture"/>
                    <pic:cNvPicPr>
                      <a:picLocks noChangeArrowheads="1" noChangeAspect="1"/>
                    </pic:cNvPicPr>
                  </pic:nvPicPr>
                  <pic:blipFill>
                    <a:blip r:embed="rId61"/>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bookmarkEnd w:id="64"/>
    <w:bookmarkEnd w:id="65"/>
    <w:bookmarkEnd w:id="66"/>
    <w:bookmarkStart w:id="71" w:name="Xda7f5ed936af8f368d8a826bd80c4e8c21af36c"/>
    <w:p>
      <w:pPr>
        <w:pStyle w:val="Ttulo1"/>
      </w:pPr>
      <w:r>
        <w:t xml:space="preserve">Modelos de Gobiernos con Gestión de Riesgos Técnicos (versión 0.6)</w:t>
      </w:r>
    </w:p>
    <w:bookmarkStart w:id="0" w:name="fig:b7ccc7c8-2a8e-46af-920a-b5336fd9ac88"/>
    <w:p>
      <w:pPr>
        <w:pStyle w:val="CaptionedFigure"/>
      </w:pPr>
      <w:bookmarkStart w:id="70" w:name="fig:"/>
      <w:r>
        <w:drawing>
          <wp:inline>
            <wp:extent cx="5600700" cy="3992650"/>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5-riesgos.png" id="69" name="Picture"/>
                    <pic:cNvPicPr>
                      <a:picLocks noChangeArrowheads="1" noChangeAspect="1"/>
                    </pic:cNvPicPr>
                  </pic:nvPicPr>
                  <pic:blipFill>
                    <a:blip r:embed="rId67"/>
                    <a:stretch>
                      <a:fillRect/>
                    </a:stretch>
                  </pic:blipFill>
                  <pic:spPr bwMode="auto">
                    <a:xfrm>
                      <a:off x="0" y="0"/>
                      <a:ext cx="5600700" cy="3992650"/>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Diagnóstico SOA. E-Service (2022).</w:t>
      </w:r>
    </w:p>
    <w:p>
      <w:pPr>
        <w:pStyle w:val="Textoindependiente"/>
      </w:pPr>
    </w:p>
    <w:p>
      <w:pPr>
        <w:pStyle w:val="Textoindependiente"/>
      </w:pPr>
      <w:r>
        <w:t xml:space="preserve">05c.modelo riesgo</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del FNA (Oficina de Arquitectura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1.848dfe0</w:t>
            </w:r>
            <w:r>
              <w:t xml:space="preserve"> </w:t>
            </w:r>
            <w:r>
              <w:t xml:space="preserve">del 30 Jun 2023</w:t>
            </w:r>
          </w:p>
        </w:tc>
      </w:tr>
      <w:tr>
        <w:tc>
          <w:tcPr/>
          <w:p>
            <w:pPr>
              <w:pStyle w:val="Compact"/>
              <w:jc w:val="left"/>
            </w:pPr>
            <w:r>
              <w:t xml:space="preserve">Vínculos</w:t>
            </w:r>
          </w:p>
        </w:tc>
        <w:tc>
          <w:tcPr/>
          <w:p>
            <w:pPr>
              <w:pStyle w:val="Compact"/>
              <w:jc w:val="left"/>
            </w:pPr>
            <w:hyperlink r:id="rId46">
              <w:r>
                <w:rPr>
                  <w:rStyle w:val="Hipervnculo"/>
                </w:rPr>
                <w:t xml:space="preserve">Ejecución Plan de Trabajo SOA</w:t>
              </w:r>
            </w:hyperlink>
            <w:r>
              <w:t xml:space="preserve">;</w:t>
            </w:r>
            <w:r>
              <w:t xml:space="preserve"> </w:t>
            </w:r>
            <w:hyperlink r:id="rId47">
              <w:r>
                <w:rPr>
                  <w:rStyle w:val="Hipervnculo"/>
                </w:rPr>
                <w:t xml:space="preserve">Procesos de Negocio FNA</w:t>
              </w:r>
            </w:hyperlink>
          </w:p>
        </w:tc>
      </w:tr>
    </w:tbl>
    <w:p>
      <w:pPr>
        <w:pStyle w:val="Textoindependiente"/>
      </w:pPr>
    </w:p>
    <w:bookmarkEnd w:id="71"/>
    <w:bookmarkStart w:id="76" w:name="referencias"/>
    <w:p>
      <w:pPr>
        <w:pStyle w:val="Ttulo1"/>
      </w:pPr>
      <w:r>
        <w:t xml:space="preserve">Referencias</w:t>
      </w:r>
    </w:p>
    <w:bookmarkStart w:id="72" w:name="refs"/>
    <w:p>
      <w:pPr>
        <w:pStyle w:val="Bibliography"/>
      </w:pPr>
      <w:r>
        <w:t xml:space="preserve">E-Service. Situación SOA Actual del FNA. Etapa I. (2022).</w:t>
      </w:r>
    </w:p>
    <w:bookmarkEnd w:id="72"/>
    <w:bookmarkStart w:id="73" w:name="refs"/>
    <w:p>
      <w:pPr>
        <w:pStyle w:val="Bibliography"/>
      </w:pPr>
      <w:r>
        <w:t xml:space="preserve">E-Service. Arquitectura de Referencia del FNA. Etapa II. (2023).</w:t>
      </w:r>
    </w:p>
    <w:bookmarkEnd w:id="73"/>
    <w:bookmarkStart w:id="74" w:name="refs"/>
    <w:p>
      <w:pPr>
        <w:pStyle w:val="Bibliography"/>
      </w:pPr>
      <w:r>
        <w:t xml:space="preserve">E-Service. Hoja de Ruta e Iniciativas. Etapa III. (2023).</w:t>
      </w:r>
    </w:p>
    <w:bookmarkEnd w:id="74"/>
    <w:bookmarkStart w:id="75" w:name="refs"/>
    <w:p>
      <w:pPr>
        <w:pStyle w:val="Bibliography"/>
      </w:pPr>
      <w:r>
        <w:t xml:space="preserve">TOGAF 9.1. Risk Management (2023). En https://pubs.opengroup.org/architecture/togaf9-doc/arch/chap27.html</w:t>
      </w:r>
    </w:p>
    <w:bookmarkEnd w:id="75"/>
    <w:bookmarkEnd w:id="7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image" Id="rId34" Target="media/rId34.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48dfe09c48afc950425af3dc9d0c9000d97764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848dfe09c48afc950425af3dc9d0c9000d97764f/"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6" Target="onenote:#N001d.sharepoint.com" TargetMode="External" /><Relationship Type="http://schemas.openxmlformats.org/officeDocument/2006/relationships/hyperlink" Id="rId47"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2023-06-30T20:31:47Z</dcterms:created>
  <dcterms:modified xsi:type="dcterms:W3CDTF">2023-06-30T20:31:47Z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