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2.png" ContentType="image/png"/>
  <Override PartName="/word/media/rId89.png" ContentType="image/png"/>
  <Override PartName="/word/media/rId83.png" ContentType="image/png"/>
  <Override PartName="/word/media/rId50.png" ContentType="image/png"/>
  <Override PartName="/word/media/rId45.png" ContentType="image/png"/>
  <Override PartName="/word/media/rId86.png" ContentType="image/png"/>
  <Override PartName="/word/media/rId97.png" ContentType="image/png"/>
  <Override PartName="/word/media/rId110.png" ContentType="image/png"/>
  <Override PartName="/word/media/rId119.png" ContentType="image/png"/>
  <Override PartName="/word/media/rId114.png" ContentType="image/png"/>
  <Override PartName="/word/media/rId10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STEF@9f5b11d</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1.9f5b11d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1.9f5b11d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1.9f5b11d</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4dc3c55e-084d-4d54-945a-f2ca552c63ab"/>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1.9f5b11d</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5c5b9827-b2e8-4d21-a885-99eb95345470"/>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pPr>
        <w:pStyle w:val="Textoindependiente"/>
      </w:pPr>
      <w:r>
        <w:t xml:space="preserve">La evaluación por escenarios (ASAM/ATAM) ofrece una manera de encontrar la aptitud de una arquitectura de software con respecto a múltiples atributos de calidad competitivos. El método por escenarios ayuda además a encontrar arquitecturas candidatas, o cambios interesantes sobre una arquitectura ejecutable. Las arquitecturas o cambios candidatos se describen en términos de los elementos arquitectónicos de interés (componentes de software del SIAFP) para cada uno de los atributos de calidad. Los atributos de calidad de apertura para esta evaluación son los indicados en la imagen más adelante.</w:t>
      </w:r>
    </w:p>
    <w:p>
      <w:pPr>
        <w:pStyle w:val="Textoindependiente"/>
      </w:pPr>
      <w:r>
        <w:t xml:space="preserve">ATAM nos da además los puntos de sensibilidad que cuentan como las decisiones arquitectónicas propensas a lograr la mejora de atributos de calidad.</w:t>
      </w:r>
    </w:p>
    <w:p>
      <w:pPr>
        <w:pStyle w:val="Textoindependiente"/>
      </w:pPr>
      <w:r>
        <w:t xml:space="preserve">Al final, el método propuesto debe entregar información accionable y de soporte de decisiones y planeación para la actualización/o no, de la plataforma tecnológica del SIAFP.</w:t>
      </w:r>
    </w:p>
    <w:p>
      <w:pPr>
        <w:pStyle w:val="Textoindependiente"/>
      </w:pPr>
      <w:r>
        <w:t xml:space="preserve">Proceso de Evaluación Basado en Escenarios (ASAM)</w:t>
      </w:r>
      <w:r>
        <w:t xml:space="preserve"> </w:t>
      </w: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p>
      <w:pPr>
        <w:numPr>
          <w:ilvl w:val="0"/>
          <w:numId w:val="1004"/>
        </w:numPr>
      </w:pPr>
      <w:r>
        <w:t xml:space="preserve">Descripción de escenarios directos</w:t>
      </w:r>
      <w:r>
        <w:t xml:space="preserve"> </w:t>
      </w:r>
      <w:r>
        <w:t xml:space="preserve">La descripción de escenarios se la realizará mediante un diagrama dinámico de flujo de trabajo. Ejemplo.</w:t>
      </w:r>
    </w:p>
    <w:p>
      <w:pPr>
        <w:numPr>
          <w:ilvl w:val="0"/>
          <w:numId w:val="1004"/>
        </w:numPr>
      </w:pPr>
      <w:r>
        <w:t xml:space="preserve">Priorización de escenarios</w:t>
      </w:r>
      <w:r>
        <w:t xml:space="preserve"> </w:t>
      </w:r>
      <w:r>
        <w:t xml:space="preserve">La priorización de escenarios se la realizará por votación. La votación estará a cargo de los arquitectos del SIAFP.</w:t>
      </w:r>
    </w:p>
    <w:p>
      <w:pPr>
        <w:numPr>
          <w:ilvl w:val="0"/>
          <w:numId w:val="1004"/>
        </w:numPr>
      </w:pPr>
      <w:r>
        <w:t xml:space="preserve">Evaluación de escenarios *</w:t>
      </w:r>
      <w:r>
        <w:t xml:space="preserve"> </w:t>
      </w:r>
      <w:r>
        <w:t xml:space="preserve">Para la evaluación de los escenarios se utilizará una variante del método cualitativo. Los criterios de la evaluación se basarán en la criticidad del riesgo del componente, en lugar, de cantidad de componentes, indicada en el siguiente ejemplo.</w:t>
      </w:r>
    </w:p>
    <w:p>
      <w:pPr>
        <w:numPr>
          <w:ilvl w:val="0"/>
          <w:numId w:val="1005"/>
        </w:numPr>
        <w:pStyle w:val="Compact"/>
      </w:pPr>
      <w:r>
        <w:t xml:space="preserve">Por cada arquitectura se evalúan los mismos escenarios</w:t>
      </w:r>
    </w:p>
    <w:p>
      <w:pPr>
        <w:numPr>
          <w:ilvl w:val="0"/>
          <w:numId w:val="1006"/>
        </w:numPr>
      </w:pPr>
      <w:r>
        <w:t xml:space="preserve">Comparación de escenarios</w:t>
      </w:r>
      <w:r>
        <w:t xml:space="preserve"> </w:t>
      </w:r>
      <w:r>
        <w:t xml:space="preserve">Si por cada requerimiento de negocio/técnico, se obtienen varios escenarios, se realizará la comparativa de puntos entre los escenarios donde el mejor puntaje gana. El sistema de puntuación para los escenarios es el propuesto a continuación.</w:t>
      </w:r>
    </w:p>
    <w:p>
      <w:pPr>
        <w:numPr>
          <w:ilvl w:val="0"/>
          <w:numId w:val="1006"/>
        </w:numPr>
      </w:pPr>
      <w:r>
        <w:t xml:space="preserve">Salidas</w:t>
      </w:r>
    </w:p>
    <w:p>
      <w:pPr>
        <w:numPr>
          <w:ilvl w:val="0"/>
          <w:numId w:val="1007"/>
        </w:numPr>
        <w:pStyle w:val="Compact"/>
      </w:pPr>
      <w:r>
        <w:t xml:space="preserve">SAL01. Análisis de Sensibilidad: Decisiones de arquitectura que impacta positivamente al negocio.</w:t>
      </w:r>
    </w:p>
    <w:p>
      <w:pPr>
        <w:numPr>
          <w:ilvl w:val="0"/>
          <w:numId w:val="1007"/>
        </w:numPr>
        <w:pStyle w:val="Compact"/>
      </w:pPr>
      <w:r>
        <w:t xml:space="preserve">SAL02. Mapa de Riesgos Arquitectónicos: Son aquellos para los que no hay valor satisfactorio como respuesta a una acción desde un enfoque arquitectónico.</w:t>
      </w:r>
    </w:p>
    <w:p>
      <w:pPr>
        <w:numPr>
          <w:ilvl w:val="0"/>
          <w:numId w:val="1007"/>
        </w:numPr>
        <w:pStyle w:val="Compact"/>
      </w:pPr>
      <w:r>
        <w:t xml:space="preserve">SAL03. Lista de Conformidades (no-riesgos)</w:t>
      </w:r>
    </w:p>
    <w:p>
      <w:pPr>
        <w:numPr>
          <w:ilvl w:val="0"/>
          <w:numId w:val="1007"/>
        </w:numPr>
        <w:pStyle w:val="Compact"/>
      </w:pPr>
      <w:r>
        <w:t xml:space="preserve">SAL04. Resultado del Cuestionario de evaluación (respuestas a preguntas de análisis)</w:t>
      </w:r>
    </w:p>
    <w:p>
      <w:r>
        <w:br w:type="page"/>
      </w: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1.9f5b11d</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ed40649e9b2685c21aa189755e15d469fb8529f"/>
    <w:p>
      <w:pPr>
        <w:pStyle w:val="Ttulo1"/>
      </w:pPr>
      <w:r>
        <w:t xml:space="preserve">Método de Evaluación de Arquitecturas para el FNA</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72" w:name="Xbee76a15a4604f22be7245d009952de81f0ac64"/>
    <w:p>
      <w:pPr>
        <w:pStyle w:val="Ttulo1"/>
      </w:pPr>
      <w:r>
        <w:t xml:space="preserve">Pasos del Método de Evaluación para el FNA</w:t>
      </w:r>
    </w:p>
    <w:bookmarkStart w:id="61" w:name="Xaa74508a717988c35453ce330d3747564a92c27"/>
    <w:p>
      <w:pPr>
        <w:pStyle w:val="Ttulo2"/>
      </w:pPr>
      <w:r>
        <w:t xml:space="preserve">1. 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59">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60">
        <w:r>
          <w:rPr>
            <w:rStyle w:val="Hipervnculo"/>
          </w:rPr>
          <w:t xml:space="preserve">vista de casos de uso</w:t>
        </w:r>
      </w:hyperlink>
      <w:r>
        <w:t xml:space="preserve"> </w:t>
      </w:r>
      <w:r>
        <w:t xml:space="preserve">del documento de arquitectura.</w:t>
      </w:r>
    </w:p>
    <w:bookmarkEnd w:id="61"/>
    <w:bookmarkStart w:id="62" w:name="establecer-la-arquitectura-candidata"/>
    <w:p>
      <w:pPr>
        <w:pStyle w:val="Ttulo2"/>
      </w:pPr>
      <w:r>
        <w:t xml:space="preserve">2. 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p>
      <w:pPr>
        <w:pStyle w:val="Textoindependiente"/>
      </w:pPr>
      <w:r>
        <w:t xml:space="preserve">Expandir/Definir el modelo de despliegue inicial</w:t>
      </w:r>
      <w:r>
        <w:br/>
      </w: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62"/>
    <w:bookmarkStart w:id="63" w:name="X715abcfd4791f0db224343bedd1157cbc7bd88a"/>
    <w:p>
      <w:pPr>
        <w:pStyle w:val="Ttulo2"/>
      </w:pPr>
      <w:r>
        <w:t xml:space="preserve">Expandir/Identificar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ExpandirRefinar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63"/>
    <w:bookmarkStart w:id="64" w:name="expandirelaborar-el-modelo-de-diseño"/>
    <w:p>
      <w:pPr>
        <w:pStyle w:val="Ttulo2"/>
      </w:pPr>
      <w:r>
        <w:t xml:space="preserve">Expandir/Elaborar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ExpandirDocumentar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64"/>
    <w:bookmarkStart w:id="65" w:name="X55fb67ec73cbe8299b63c111cb02cce35400bc9"/>
    <w:p>
      <w:pPr>
        <w:pStyle w:val="Ttulo2"/>
      </w:pPr>
      <w:r>
        <w:t xml:space="preserve">ExpandirElaborar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65"/>
    <w:bookmarkStart w:id="66" w:name="X72f8e671681b90a31b09c423b0d9510145ff112"/>
    <w:p>
      <w:pPr>
        <w:pStyle w:val="Ttulo2"/>
      </w:pPr>
      <w:r>
        <w:t xml:space="preserve">Expandir/Solicitar Revisión de la arquitectura - ATAM</w:t>
      </w:r>
    </w:p>
    <w:p>
      <w:pPr>
        <w:pStyle w:val="FirstParagraph"/>
      </w:pPr>
      <w:r>
        <w:t xml:space="preserve">El Gerente o el Arquitecto del Proyecto debe someter el diseño al comité de Arquitectura quienes realizarán la revisión correspondiente aplicando el Método ATAM (Architecture Tradeoff Analysis Method).</w:t>
      </w:r>
    </w:p>
    <w:bookmarkEnd w:id="66"/>
    <w:bookmarkStart w:id="67" w:name="expandirplaneación-de-la-evaluación"/>
    <w:p>
      <w:pPr>
        <w:pStyle w:val="Ttulo2"/>
      </w:pPr>
      <w:r>
        <w:t xml:space="preserve">Expandir/Planeación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ATAM.</w:t>
      </w:r>
      <w:r>
        <w:t xml:space="preserve"> </w:t>
      </w:r>
      <w:r>
        <w:t xml:space="preserve">ExpandirPresentación de proceso ATAM</w:t>
      </w:r>
      <w:r>
        <w:br/>
      </w:r>
      <w:r>
        <w:t xml:space="preserve">El equipo evaluador hace una presentación del proceso ATAM y de las actividades que se llevarán a cabo para ejecutarlo. Para esto se debe contar con el proceso ATAM utilizando el documento (PT-INGE-037-Evaluación ATAM) y realizar la presentación de evaluación ATAM (PT-INGE-034-Presentación ATAM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p>
      <w:pPr>
        <w:pStyle w:val="Textoindependiente"/>
      </w:pPr>
      <w:r>
        <w:t xml:space="preserve">Expandir/Presentación de motivadores de negocio</w:t>
      </w:r>
      <w:r>
        <w:br/>
      </w: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Expandir/Presentación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67"/>
    <w:bookmarkStart w:id="68" w:name="X05fe26e55e56744c8ea404fe78988b4590c42f4"/>
    <w:p>
      <w:pPr>
        <w:pStyle w:val="Ttulo2"/>
      </w:pPr>
      <w:r>
        <w:t xml:space="preserve">Expandir/Identificar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ExpandirGenerar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A continuación se muestra un ejemplo del árbol de utilidad</w:t>
      </w:r>
    </w:p>
    <w:bookmarkEnd w:id="68"/>
    <w:bookmarkStart w:id="69" w:name="X9ecfd34642fafe33330cb444d0202ea43486c9b"/>
    <w:p>
      <w:pPr>
        <w:pStyle w:val="Ttulo2"/>
      </w:pPr>
      <w:r>
        <w:t xml:space="preserve">Expandir: 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ATAM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69"/>
    <w:bookmarkStart w:id="70" w:name="Xf849da93844b2c0f13f00f117e7566e9508508a"/>
    <w:p>
      <w:pPr>
        <w:pStyle w:val="Ttulo2"/>
      </w:pPr>
      <w:r>
        <w:t xml:space="preserve">Expandir: 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r>
        <w:t xml:space="preserve"> </w:t>
      </w: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ExpandirConciliación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FirstParagraph"/>
      </w:pPr>
      <w:r>
        <w:t xml:space="preserve">En esta labor participan el Gerente del proyecto evaluado, el Arquitecto del proyecto evaluado, el Líder del equipo ATAM y el Líder de la evaluación con el fin de que la información como riesgos, no riesgos, puntos sensibles y puntos de compensación estén completos.</w:t>
      </w:r>
    </w:p>
    <w:p>
      <w:pPr>
        <w:pStyle w:val="Textoindependiente"/>
      </w:pPr>
      <w:r>
        <w:t xml:space="preserve">ExpandirCorrecciones según evaluación</w:t>
      </w:r>
      <w:r>
        <w:br/>
      </w: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ExpandirPrimera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ExpandirSegunda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70"/>
    <w:bookmarkStart w:id="71" w:name="Xfbb1f37fcd05e93fc8586ad52dddbf58052a22a"/>
    <w:p>
      <w:pPr>
        <w:pStyle w:val="Ttulo2"/>
      </w:pPr>
      <w:r>
        <w:t xml:space="preserve">Expandir/Revisión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t xml:space="preserve">Nota: Tenga en cuenta que el documento de arquitectura resume los temas más relevantes de los productos de trabajo de otras fases del proyecto, en la mayoría de los casos se crean vínculos a los documentos en donde están los productos de trabajo mencionados.</w:t>
      </w:r>
      <w:r>
        <w:t xml:space="preserve"> </w:t>
      </w:r>
      <w:r>
        <w:t xml:space="preserve">— HUP. Heinsohn Business Tech.</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1.9f5b11d</w:t>
      </w:r>
    </w:p>
    <w:p>
      <w:pPr>
        <w:pStyle w:val="FirstParagraph"/>
      </w:pPr>
    </w:p>
    <w:bookmarkEnd w:id="71"/>
    <w:bookmarkEnd w:id="72"/>
    <w:bookmarkStart w:id="8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3"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73"/>
    <w:bookmarkStart w:id="74" w:name="contenidos-2"/>
    <w:p>
      <w:pPr>
        <w:pStyle w:val="Ttulo2"/>
      </w:pPr>
      <w:r>
        <w:t xml:space="preserve">Contenidos</w:t>
      </w:r>
    </w:p>
    <w:p>
      <w:pPr>
        <w:numPr>
          <w:ilvl w:val="0"/>
          <w:numId w:val="1009"/>
        </w:numPr>
        <w:pStyle w:val="Compact"/>
      </w:pPr>
      <w:r>
        <w:t xml:space="preserve">Definición e identificación del riesgo técnico del FNA (E-Service, Fase I)</w:t>
      </w:r>
    </w:p>
    <w:p>
      <w:pPr>
        <w:numPr>
          <w:ilvl w:val="0"/>
          <w:numId w:val="1009"/>
        </w:numPr>
        <w:pStyle w:val="Compact"/>
      </w:pPr>
      <w:r>
        <w:t xml:space="preserve">Métodos para el tratamiento de los riesgos técnicos E-Service Fase I</w:t>
      </w:r>
    </w:p>
    <w:p>
      <w:pPr>
        <w:numPr>
          <w:ilvl w:val="0"/>
          <w:numId w:val="1009"/>
        </w:numPr>
        <w:pStyle w:val="Compact"/>
      </w:pPr>
      <w:r>
        <w:t xml:space="preserve">Modelamiento del riesgo técnico del FNA (Oficina de Arquitectura FNA)</w:t>
      </w:r>
    </w:p>
    <w:p>
      <w:pPr>
        <w:pStyle w:val="FirstParagraph"/>
      </w:pPr>
    </w:p>
    <w:bookmarkEnd w:id="74"/>
    <w:bookmarkStart w:id="75" w:name="criterios-de-aceptación-1"/>
    <w:p>
      <w:pPr>
        <w:pStyle w:val="Ttulo2"/>
      </w:pPr>
      <w:r>
        <w:t xml:space="preserve">Criterios de Aceptación</w:t>
      </w:r>
    </w:p>
    <w:p>
      <w:pPr>
        <w:numPr>
          <w:ilvl w:val="0"/>
          <w:numId w:val="1010"/>
        </w:numPr>
        <w:pStyle w:val="Compact"/>
      </w:pPr>
      <w:r>
        <w:t xml:space="preserve">Procedimientos y técnicas de modelamiento para el tratamiento de los riesgos técnicos del FNA (E-Service, 2022)</w:t>
      </w:r>
    </w:p>
    <w:p>
      <w:pPr>
        <w:numPr>
          <w:ilvl w:val="0"/>
          <w:numId w:val="1010"/>
        </w:numPr>
        <w:pStyle w:val="Compact"/>
      </w:pPr>
      <w:r>
        <w:t xml:space="preserve">Matriz de riesgos técnicos e impactos del FNA</w:t>
      </w:r>
    </w:p>
    <w:p>
      <w:pPr>
        <w:pStyle w:val="FirstParagraph"/>
      </w:pPr>
    </w:p>
    <w:bookmarkEnd w:id="75"/>
    <w:bookmarkStart w:id="79" w:name="modelo-de-implementación-del-pry01-1"/>
    <w:p>
      <w:pPr>
        <w:pStyle w:val="Ttulo2"/>
      </w:pPr>
      <w:r>
        <w:t xml:space="preserve">Modelo de Implementación del PRY01</w:t>
      </w:r>
    </w:p>
    <w:bookmarkStart w:id="0" w:name="fig:21e20c92-b715-4612-834d-a9948f4e0bda"/>
    <w:p>
      <w:pPr>
        <w:pStyle w:val="CaptionedFigure"/>
      </w:pPr>
      <w:bookmarkStart w:id="78" w:name="fig:"/>
      <w:r>
        <w:drawing>
          <wp:inline>
            <wp:extent cx="5600700" cy="4499951"/>
            <wp:effectExtent b="0" l="0" r="0" t="0"/>
            <wp:docPr descr="Imagen 3: Plan de Implementación del Proyecto Gobierno SOA del FNA (PRY01), 2023. Junio 2023 a julio 2023" title="" id="76" name="Picture"/>
            <a:graphic>
              <a:graphicData uri="http://schemas.openxmlformats.org/drawingml/2006/picture">
                <pic:pic>
                  <pic:nvPicPr>
                    <pic:cNvPr descr="images/pry1gobierno.jpg" id="7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78"/>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1.9f5b11d</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9"/>
    <w:bookmarkEnd w:id="80"/>
    <w:bookmarkStart w:id="8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81"/>
    <w:bookmarkStart w:id="9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8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1"/>
        </w:numPr>
        <w:pStyle w:val="Compact"/>
      </w:pPr>
      <w:r>
        <w:t xml:space="preserve">Análisis de Madurez SOA del FNA (OSIMM, Open Group; E-Service, Fase I, 2022)</w:t>
      </w:r>
    </w:p>
    <w:p>
      <w:pPr>
        <w:numPr>
          <w:ilvl w:val="0"/>
          <w:numId w:val="1011"/>
        </w:numPr>
        <w:pStyle w:val="Compact"/>
      </w:pPr>
      <w:r>
        <w:t xml:space="preserve">Análisis de Fortalezas/Debilidades SOA del FNA (SOA Patterns, Enterprise Integration Patterns; E-Service, Fase I, 2022)</w:t>
      </w:r>
    </w:p>
    <w:p>
      <w:pPr>
        <w:numPr>
          <w:ilvl w:val="0"/>
          <w:numId w:val="1011"/>
        </w:numPr>
        <w:pStyle w:val="Compact"/>
      </w:pPr>
      <w:r>
        <w:t xml:space="preserve">Oportunidades Relevantes SOA del FNA (BPTrends; E-Service, Fase I, 2022)</w:t>
      </w:r>
    </w:p>
    <w:p>
      <w:pPr>
        <w:numPr>
          <w:ilvl w:val="0"/>
          <w:numId w:val="1011"/>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2"/>
        </w:numPr>
        <w:pStyle w:val="Compact"/>
      </w:pPr>
      <w:r>
        <w:t xml:space="preserve">R1. Riesgo de agilidad limitada (ver imagen 1)</w:t>
      </w:r>
    </w:p>
    <w:p>
      <w:pPr>
        <w:numPr>
          <w:ilvl w:val="0"/>
          <w:numId w:val="1012"/>
        </w:numPr>
        <w:pStyle w:val="Compact"/>
      </w:pPr>
      <w:r>
        <w:t xml:space="preserve">R2. Riesgo de baja orquestación SOA (ver imagen 2a y 2b)</w:t>
      </w:r>
    </w:p>
    <w:p>
      <w:pPr>
        <w:numPr>
          <w:ilvl w:val="0"/>
          <w:numId w:val="1012"/>
        </w:numPr>
        <w:pStyle w:val="Compact"/>
      </w:pPr>
      <w:r>
        <w:t xml:space="preserve">R3. Riesgo de crecimiento de dependencias entre servicios SOA</w:t>
      </w:r>
    </w:p>
    <w:p>
      <w:pPr>
        <w:numPr>
          <w:ilvl w:val="0"/>
          <w:numId w:val="1012"/>
        </w:numPr>
        <w:pStyle w:val="Compact"/>
      </w:pPr>
      <w:r>
        <w:t xml:space="preserve">R4. Riesgo de crecimiento de adaptadores particulares –opuesto al estándar</w:t>
      </w:r>
    </w:p>
    <w:p>
      <w:pPr>
        <w:numPr>
          <w:ilvl w:val="0"/>
          <w:numId w:val="1012"/>
        </w:numPr>
        <w:pStyle w:val="Compact"/>
      </w:pPr>
      <w:r>
        <w:t xml:space="preserve">R5. Riesgo de baja reutilización de servicios SOA</w:t>
      </w:r>
    </w:p>
    <w:p>
      <w:pPr>
        <w:numPr>
          <w:ilvl w:val="0"/>
          <w:numId w:val="1012"/>
        </w:numPr>
        <w:pStyle w:val="Compact"/>
      </w:pPr>
      <w:r>
        <w:t xml:space="preserve">R6. Riesgo de permanencia de silos (islas) de servicios SOA y aplicaciones</w:t>
      </w:r>
    </w:p>
    <w:p>
      <w:pPr>
        <w:numPr>
          <w:ilvl w:val="0"/>
          <w:numId w:val="1012"/>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82"/>
    <w:bookmarkStart w:id="9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84" name="Picture"/>
            <a:graphic>
              <a:graphicData uri="http://schemas.openxmlformats.org/drawingml/2006/picture">
                <pic:pic>
                  <pic:nvPicPr>
                    <pic:cNvPr descr="images/ESB-IBM.png" id="85" name="Picture"/>
                    <pic:cNvPicPr>
                      <a:picLocks noChangeArrowheads="1" noChangeAspect="1"/>
                    </pic:cNvPicPr>
                  </pic:nvPicPr>
                  <pic:blipFill>
                    <a:blip r:embed="rId8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87" name="Picture"/>
            <a:graphic>
              <a:graphicData uri="http://schemas.openxmlformats.org/drawingml/2006/picture">
                <pic:pic>
                  <pic:nvPicPr>
                    <pic:cNvPr descr="images/esb-procesos.png" id="88" name="Picture"/>
                    <pic:cNvPicPr>
                      <a:picLocks noChangeArrowheads="1" noChangeAspect="1"/>
                    </pic:cNvPicPr>
                  </pic:nvPicPr>
                  <pic:blipFill>
                    <a:blip r:embed="rId8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90" name="Picture"/>
            <a:graphic>
              <a:graphicData uri="http://schemas.openxmlformats.org/drawingml/2006/picture">
                <pic:pic>
                  <pic:nvPicPr>
                    <pic:cNvPr descr="images/ESB-IBM-2.png" id="91" name="Picture"/>
                    <pic:cNvPicPr>
                      <a:picLocks noChangeArrowheads="1" noChangeAspect="1"/>
                    </pic:cNvPicPr>
                  </pic:nvPicPr>
                  <pic:blipFill>
                    <a:blip r:embed="rId8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93" name="Picture"/>
            <a:graphic>
              <a:graphicData uri="http://schemas.openxmlformats.org/drawingml/2006/picture">
                <pic:pic>
                  <pic:nvPicPr>
                    <pic:cNvPr descr="images/CRM.png" id="94" name="Picture"/>
                    <pic:cNvPicPr>
                      <a:picLocks noChangeArrowheads="1" noChangeAspect="1"/>
                    </pic:cNvPicPr>
                  </pic:nvPicPr>
                  <pic:blipFill>
                    <a:blip r:embed="rId9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9f5b11d</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95"/>
    <w:bookmarkEnd w:id="96"/>
    <w:bookmarkStart w:id="10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0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e4d43d38-dd6c-4341-af8d-15e12998b445"/>
    <w:p>
      <w:pPr>
        <w:pStyle w:val="CaptionedFigure"/>
      </w:pPr>
      <w:bookmarkStart w:id="100" w:name="fig:"/>
      <w:r>
        <w:drawing>
          <wp:inline>
            <wp:extent cx="5600700" cy="3976532"/>
            <wp:effectExtent b="0" l="0" r="0" t="0"/>
            <wp:docPr descr="Imagen 4: Modelo de gobierno SOA del FNA, versión 0.6. Incorpora las actividades de gestión de riesgo, y las capaciddes del repositorio de arquitectura." title="" id="98" name="Picture"/>
            <a:graphic>
              <a:graphicData uri="http://schemas.openxmlformats.org/drawingml/2006/picture">
                <pic:pic>
                  <pic:nvPicPr>
                    <pic:cNvPr descr="images/modelogob06.png" id="99" name="Picture"/>
                    <pic:cNvPicPr>
                      <a:picLocks noChangeArrowheads="1" noChangeAspect="1"/>
                    </pic:cNvPicPr>
                  </pic:nvPicPr>
                  <pic:blipFill>
                    <a:blip r:embed="rId97"/>
                    <a:stretch>
                      <a:fillRect/>
                    </a:stretch>
                  </pic:blipFill>
                  <pic:spPr bwMode="auto">
                    <a:xfrm>
                      <a:off x="0" y="0"/>
                      <a:ext cx="5600700" cy="3976532"/>
                    </a:xfrm>
                    <a:prstGeom prst="rect">
                      <a:avLst/>
                    </a:prstGeom>
                    <a:noFill/>
                    <a:ln w="9525">
                      <a:noFill/>
                      <a:headEnd/>
                      <a:tailEnd/>
                    </a:ln>
                  </pic:spPr>
                </pic:pic>
              </a:graphicData>
            </a:graphic>
          </wp:inline>
        </w:drawing>
      </w:r>
      <w:bookmarkEnd w:id="100"/>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3"/>
        </w:numPr>
        <w:pStyle w:val="Compact"/>
      </w:pPr>
      <w:r>
        <w:t xml:space="preserve">Relación Area FNA - Riesgo</w:t>
      </w:r>
    </w:p>
    <w:p>
      <w:pPr>
        <w:numPr>
          <w:ilvl w:val="0"/>
          <w:numId w:val="1013"/>
        </w:numPr>
        <w:pStyle w:val="Compact"/>
      </w:pPr>
      <w:r>
        <w:t xml:space="preserve">Valoración del riesgo</w:t>
      </w:r>
    </w:p>
    <w:p>
      <w:pPr>
        <w:numPr>
          <w:ilvl w:val="0"/>
          <w:numId w:val="1013"/>
        </w:numPr>
        <w:pStyle w:val="Compact"/>
      </w:pPr>
      <w:r>
        <w:t xml:space="preserve">Relación Arquitectura FNA - Riesgo</w:t>
      </w:r>
    </w:p>
    <w:p>
      <w:pPr>
        <w:pStyle w:val="FirstParagraph"/>
      </w:pPr>
    </w:p>
    <w:bookmarkEnd w:id="101"/>
    <w:bookmarkStart w:id="10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af14103f-d356-46df-b46c-ca7848ab3f45"/>
    <w:p>
      <w:pPr>
        <w:pStyle w:val="CaptionedFigure"/>
      </w:pPr>
      <w:bookmarkStart w:id="105" w:name="fig:"/>
      <w:r>
        <w:drawing>
          <wp:inline>
            <wp:extent cx="5600700" cy="5260757"/>
            <wp:effectExtent b="0" l="0" r="0" t="0"/>
            <wp:docPr descr="Imagen 5: Modelo de Gobierno SOA. Adaptación FNA. Recursos y Herramientas de Gestión del Riesgo de Arquitectura del FNA." title="" id="103" name="Picture"/>
            <a:graphic>
              <a:graphicData uri="http://schemas.openxmlformats.org/drawingml/2006/picture">
                <pic:pic>
                  <pic:nvPicPr>
                    <pic:cNvPr descr="images/oficinamodelo06.png" id="104" name="Picture"/>
                    <pic:cNvPicPr>
                      <a:picLocks noChangeArrowheads="1" noChangeAspect="1"/>
                    </pic:cNvPicPr>
                  </pic:nvPicPr>
                  <pic:blipFill>
                    <a:blip r:embed="rId102"/>
                    <a:stretch>
                      <a:fillRect/>
                    </a:stretch>
                  </pic:blipFill>
                  <pic:spPr bwMode="auto">
                    <a:xfrm>
                      <a:off x="0" y="0"/>
                      <a:ext cx="5600700" cy="5260757"/>
                    </a:xfrm>
                    <a:prstGeom prst="rect">
                      <a:avLst/>
                    </a:prstGeom>
                    <a:noFill/>
                    <a:ln w="9525">
                      <a:noFill/>
                      <a:headEnd/>
                      <a:tailEnd/>
                    </a:ln>
                  </pic:spPr>
                </pic:pic>
              </a:graphicData>
            </a:graphic>
          </wp:inline>
        </w:drawing>
      </w:r>
      <w:bookmarkEnd w:id="105"/>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1.9f5b11d</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6"/>
    <w:bookmarkEnd w:id="107"/>
    <w:bookmarkStart w:id="12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0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0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0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09"/>
    <w:bookmarkStart w:id="11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4"/>
        </w:numPr>
        <w:pStyle w:val="Compact"/>
      </w:pPr>
      <w:r>
        <w:t xml:space="preserve">¿Qué puede salir mal en la operación existente?</w:t>
      </w:r>
    </w:p>
    <w:p>
      <w:pPr>
        <w:numPr>
          <w:ilvl w:val="0"/>
          <w:numId w:val="1014"/>
        </w:numPr>
        <w:pStyle w:val="Compact"/>
      </w:pPr>
      <w:r>
        <w:t xml:space="preserve">¿Qué hacer para darle tratamiento a esta amenaza?</w:t>
      </w:r>
    </w:p>
    <w:p>
      <w:pPr>
        <w:numPr>
          <w:ilvl w:val="0"/>
          <w:numId w:val="1014"/>
        </w:numPr>
        <w:pStyle w:val="Compact"/>
      </w:pPr>
      <w:r>
        <w:t xml:space="preserve">¿Qué activos/ítems o sistemas debemos proteger?</w:t>
      </w:r>
    </w:p>
    <w:p>
      <w:pPr>
        <w:numPr>
          <w:ilvl w:val="0"/>
          <w:numId w:val="1014"/>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34c70067-cdf0-4b89-a77a-0f5fcccb6192"/>
    <w:p>
      <w:pPr>
        <w:pStyle w:val="CaptionedFigure"/>
      </w:pPr>
      <w:bookmarkStart w:id="113" w:name="fig:"/>
      <w:r>
        <w:drawing>
          <wp:inline>
            <wp:extent cx="5600700" cy="5139172"/>
            <wp:effectExtent b="0" l="0" r="0" t="0"/>
            <wp:docPr descr="Imagen 6: Modelo de ejemplo para la representación de los artefactos, recursos, actividades y activos (software) afectados." title="" id="111" name="Picture"/>
            <a:graphic>
              <a:graphicData uri="http://schemas.openxmlformats.org/drawingml/2006/picture">
                <pic:pic>
                  <pic:nvPicPr>
                    <pic:cNvPr descr="images/modeloriesgo.png" id="112" name="Picture"/>
                    <pic:cNvPicPr>
                      <a:picLocks noChangeArrowheads="1" noChangeAspect="1"/>
                    </pic:cNvPicPr>
                  </pic:nvPicPr>
                  <pic:blipFill>
                    <a:blip r:embed="rId110"/>
                    <a:stretch>
                      <a:fillRect/>
                    </a:stretch>
                  </pic:blipFill>
                  <pic:spPr bwMode="auto">
                    <a:xfrm>
                      <a:off x="0" y="0"/>
                      <a:ext cx="5600700" cy="5139172"/>
                    </a:xfrm>
                    <a:prstGeom prst="rect">
                      <a:avLst/>
                    </a:prstGeom>
                    <a:noFill/>
                    <a:ln w="9525">
                      <a:noFill/>
                      <a:headEnd/>
                      <a:tailEnd/>
                    </a:ln>
                  </pic:spPr>
                </pic:pic>
              </a:graphicData>
            </a:graphic>
          </wp:inline>
        </w:drawing>
      </w:r>
      <w:bookmarkEnd w:id="113"/>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4c555064-56b3-434b-8466-85693d89c52e"/>
    <w:p>
      <w:pPr>
        <w:pStyle w:val="CaptionedFigure"/>
      </w:pPr>
      <w:bookmarkStart w:id="117" w:name="fig:"/>
      <w:r>
        <w:drawing>
          <wp:inline>
            <wp:extent cx="5600700" cy="5239173"/>
            <wp:effectExtent b="0" l="0" r="0" t="0"/>
            <wp:docPr descr="Imagen 7: Relación de los conceptos del modelo de riesgo con las preguntas de control del tratamiento de riesgos de arquitectura del FNA." title="" id="115" name="Picture"/>
            <a:graphic>
              <a:graphicData uri="http://schemas.openxmlformats.org/drawingml/2006/picture">
                <pic:pic>
                  <pic:nvPicPr>
                    <pic:cNvPr descr="images/modeloriesgo1a.png" id="116" name="Picture"/>
                    <pic:cNvPicPr>
                      <a:picLocks noChangeArrowheads="1" noChangeAspect="1"/>
                    </pic:cNvPicPr>
                  </pic:nvPicPr>
                  <pic:blipFill>
                    <a:blip r:embed="rId114"/>
                    <a:stretch>
                      <a:fillRect/>
                    </a:stretch>
                  </pic:blipFill>
                  <pic:spPr bwMode="auto">
                    <a:xfrm>
                      <a:off x="0" y="0"/>
                      <a:ext cx="5600700" cy="5239173"/>
                    </a:xfrm>
                    <a:prstGeom prst="rect">
                      <a:avLst/>
                    </a:prstGeom>
                    <a:noFill/>
                    <a:ln w="9525">
                      <a:noFill/>
                      <a:headEnd/>
                      <a:tailEnd/>
                    </a:ln>
                  </pic:spPr>
                </pic:pic>
              </a:graphicData>
            </a:graphic>
          </wp:inline>
        </w:drawing>
      </w:r>
      <w:bookmarkEnd w:id="117"/>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18"/>
    <w:bookmarkStart w:id="12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f9b7b117-3caa-4a02-95fe-3a6fff3fcf85"/>
    <w:p>
      <w:pPr>
        <w:pStyle w:val="CaptionedFigure"/>
      </w:pPr>
      <w:bookmarkStart w:id="122" w:name="fig:"/>
      <w:r>
        <w:drawing>
          <wp:inline>
            <wp:extent cx="5600700" cy="6275174"/>
            <wp:effectExtent b="0" l="0" r="0" t="0"/>
            <wp:docPr descr="Imagen 8: Modelo de ejemplo para la representación de los artefactos, recursos, actividades y activos (software) afectados." title="" id="120" name="Picture"/>
            <a:graphic>
              <a:graphicData uri="http://schemas.openxmlformats.org/drawingml/2006/picture">
                <pic:pic>
                  <pic:nvPicPr>
                    <pic:cNvPr descr="images/modeloriesgo001.png" id="121" name="Picture"/>
                    <pic:cNvPicPr>
                      <a:picLocks noChangeArrowheads="1" noChangeAspect="1"/>
                    </pic:cNvPicPr>
                  </pic:nvPicPr>
                  <pic:blipFill>
                    <a:blip r:embed="rId119"/>
                    <a:stretch>
                      <a:fillRect/>
                    </a:stretch>
                  </pic:blipFill>
                  <pic:spPr bwMode="auto">
                    <a:xfrm>
                      <a:off x="0" y="0"/>
                      <a:ext cx="5600700" cy="6275174"/>
                    </a:xfrm>
                    <a:prstGeom prst="rect">
                      <a:avLst/>
                    </a:prstGeom>
                    <a:noFill/>
                    <a:ln w="9525">
                      <a:noFill/>
                      <a:headEnd/>
                      <a:tailEnd/>
                    </a:ln>
                  </pic:spPr>
                </pic:pic>
              </a:graphicData>
            </a:graphic>
          </wp:inline>
        </w:drawing>
      </w:r>
      <w:bookmarkEnd w:id="122"/>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23"/>
    <w:bookmarkEnd w:id="124"/>
    <w:bookmarkStart w:id="130" w:name="referencias"/>
    <w:p>
      <w:pPr>
        <w:pStyle w:val="Ttulo1"/>
      </w:pPr>
      <w:r>
        <w:t xml:space="preserve">Referencias</w:t>
      </w:r>
    </w:p>
    <w:bookmarkStart w:id="125" w:name="refs"/>
    <w:p>
      <w:pPr>
        <w:pStyle w:val="Bibliography"/>
      </w:pPr>
      <w:r>
        <w:t xml:space="preserve">E-Service. Situación SOA Actual del FNA. Etapa I. (2022).</w:t>
      </w:r>
    </w:p>
    <w:bookmarkEnd w:id="125"/>
    <w:bookmarkStart w:id="126" w:name="refs"/>
    <w:p>
      <w:pPr>
        <w:pStyle w:val="Bibliography"/>
      </w:pPr>
      <w:r>
        <w:t xml:space="preserve">E-Service. Arquitectura de Referencia del FNA. Etapa II. (2023).</w:t>
      </w:r>
    </w:p>
    <w:bookmarkEnd w:id="126"/>
    <w:bookmarkStart w:id="127" w:name="refs"/>
    <w:p>
      <w:pPr>
        <w:pStyle w:val="Bibliography"/>
      </w:pPr>
      <w:r>
        <w:t xml:space="preserve">E-Service. Hoja de Ruta e Iniciativas. Etapa III. (2023).</w:t>
      </w:r>
    </w:p>
    <w:bookmarkEnd w:id="127"/>
    <w:bookmarkStart w:id="128" w:name="refs"/>
    <w:p>
      <w:pPr>
        <w:pStyle w:val="Bibliography"/>
      </w:pPr>
      <w:r>
        <w:t xml:space="preserve">TOGAF 9.1. Risk Management (2023). En https://pubs.opengroup.org/architecture/togaf9-doc/arch/chap27.html</w:t>
      </w:r>
    </w:p>
    <w:bookmarkEnd w:id="128"/>
    <w:bookmarkStart w:id="129" w:name="refs"/>
    <w:bookmarkEnd w:id="129"/>
    <w:bookmarkEnd w:id="1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2" Target="media/rId92.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6" Target="media/rId86.png" /><Relationship Type="http://schemas.openxmlformats.org/officeDocument/2006/relationships/image" Id="rId97" Target="media/rId97.png" /><Relationship Type="http://schemas.openxmlformats.org/officeDocument/2006/relationships/image" Id="rId110" Target="media/rId110.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02" Target="media/rId10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59"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9f5b11d3aac5bf9f56db28e40896239ebf84cd5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60"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59"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9f5b11d3aac5bf9f56db28e40896239ebf84cd5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60"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2023-07-04T15:59:48Z</dcterms:created>
  <dcterms:modified xsi:type="dcterms:W3CDTF">2023-07-04T15:59:48Z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