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png" ContentType="image/png"/>
  <Override PartName="/word/media/rId58.png" ContentType="image/png"/>
  <Override PartName="/word/media/rId52.png" ContentType="image/png"/>
  <Override PartName="/word/media/rId55.png" ContentType="image/png"/>
  <Override PartName="/word/media/rId34.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STEF@a74a945</w:t>
        </w:r>
      </w:hyperlink>
      <w:r>
        <w:t xml:space="preserve"> </w:t>
      </w:r>
      <w:r>
        <w:t xml:space="preserve">del June 30, 2023.</w:t>
      </w:r>
      <w:r>
        <w:t xml:space="preserve"> </w:t>
      </w:r>
    </w:p>
    <w:p>
      <w:pPr>
        <w:pStyle w:val="Textoindependiente"/>
      </w:pPr>
      <w:r>
        <w:t xml:space="preserve">   </w:t>
      </w:r>
      <w:r>
        <w:rPr>
          <w:bCs/>
          <w:b/>
        </w:rPr>
        <w:t xml:space="preserve">Versión</w:t>
      </w:r>
      <w:r>
        <w:t xml:space="preserve"> </w:t>
      </w:r>
      <w:r>
        <w:t xml:space="preserve">del producto 1.a74a945 de 30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1.a74a945 del 30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1.a74a945</w:t>
      </w:r>
    </w:p>
    <w:p>
      <w:pPr>
        <w:pStyle w:val="FirstParagraph"/>
      </w:pPr>
    </w:p>
    <w:bookmarkEnd w:id="30"/>
    <w:bookmarkStart w:id="39"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1"/>
    <w:bookmarkStart w:id="32" w:name="contenidos"/>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3"/>
    <w:bookmarkStart w:id="38" w:name="modelo-de-implementación-del-pry01"/>
    <w:p>
      <w:pPr>
        <w:pStyle w:val="Ttulo2"/>
      </w:pPr>
      <w:r>
        <w:t xml:space="preserve">Modelo de Implementación del PRY01</w:t>
      </w:r>
    </w:p>
    <w:bookmarkStart w:id="0" w:name="fig:5192caa8-75c6-4b33-8977-c6f792525299"/>
    <w:p>
      <w:pPr>
        <w:pStyle w:val="CaptionedFigure"/>
      </w:pPr>
      <w:bookmarkStart w:id="37" w:name="fig:"/>
      <w:r>
        <w:drawing>
          <wp:inline>
            <wp:extent cx="5600700" cy="4499951"/>
            <wp:effectExtent b="0" l="0" r="0" t="0"/>
            <wp:docPr descr="Imagen 1: Plan de Implementación del Proyecto Gobierno SOA del FNA (PRY01), 2023. Junio 2023 a juli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1.a74a945</w:t>
      </w:r>
    </w:p>
    <w:p>
      <w:pPr>
        <w:pStyle w:val="FirstParagraph"/>
      </w:pPr>
    </w:p>
    <w:bookmarkEnd w:id="38"/>
    <w:bookmarkEnd w:id="39"/>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0"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0"/>
    <w:bookmarkStart w:id="41" w:name="contenidos-1"/>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41"/>
    <w:bookmarkStart w:id="42"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2"/>
    <w:bookmarkStart w:id="48" w:name="modelo-de-implementación-del-pry01-1"/>
    <w:p>
      <w:pPr>
        <w:pStyle w:val="Ttulo2"/>
      </w:pPr>
      <w:r>
        <w:t xml:space="preserve">Modelo de Implementación del PRY01</w:t>
      </w:r>
    </w:p>
    <w:bookmarkStart w:id="0" w:name="fig:c4770413-515a-4a03-8021-a265a57a9a81"/>
    <w:p>
      <w:pPr>
        <w:pStyle w:val="CaptionedFigure"/>
      </w:pPr>
      <w:bookmarkStart w:id="45" w:name="fig:"/>
      <w:r>
        <w:drawing>
          <wp:inline>
            <wp:extent cx="5600700" cy="4499951"/>
            <wp:effectExtent b="0" l="0" r="0" t="0"/>
            <wp:docPr descr="Imagen 2: Plan de Implementación del Proyecto Gobierno SOA del FNA (PRY01), 2023. Junio 2023 a julio 2023" title="" id="43" name="Picture"/>
            <a:graphic>
              <a:graphicData uri="http://schemas.openxmlformats.org/drawingml/2006/picture">
                <pic:pic>
                  <pic:nvPicPr>
                    <pic:cNvPr descr="images/pry1gobierno.jpg" id="44"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45"/>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1.a74a945</w:t>
            </w:r>
            <w:r>
              <w:t xml:space="preserve"> </w:t>
            </w:r>
            <w:r>
              <w:t xml:space="preserve">del 30 Jun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48"/>
    <w:bookmarkStart w:id="49" w:name="Xc5c97f7920903615d2dd37bbe42739d0f6313a3"/>
    <w:p>
      <w:pPr>
        <w:pStyle w:val="Ttulo2"/>
      </w:pPr>
      <w:r>
        <w:t xml:space="preserve">Definición de Riesgo Técnico de Arquitectura del FNA</w:t>
      </w:r>
    </w:p>
    <w:p>
      <w:pPr>
        <w:pStyle w:val="FirstParagraph"/>
      </w:pPr>
      <w:r>
        <w:t xml:space="preserve">Es importante contar con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consideremos una aproximación al riesgo técnico generalmente aceptada, como la enunciada por 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del Open Group, por su relación con las arquitecturas del FNA, acogemos parte de esta definición y la acotamos necesariamente al tratar únicamente sobre los</w:t>
      </w:r>
      <w:r>
        <w:t xml:space="preserve"> </w:t>
      </w:r>
      <w:r>
        <w:rPr>
          <w:iCs/>
          <w:i/>
        </w:rPr>
        <w:t xml:space="preserve">riesgos tecnológicos que afectan a las arquitecturas SOA del FNA</w:t>
      </w:r>
      <w:r>
        <w:t xml:space="preserve">.</w:t>
      </w:r>
    </w:p>
    <w:p>
      <w:pPr>
        <w:pStyle w:val="SourceCode"/>
      </w:pPr>
      <w:r>
        <w:rPr>
          <w:rStyle w:val="VerbatimChar"/>
        </w:rPr>
        <w:t xml:space="preserve">Por tanto, en este proyecto definimos, y trataremos sobre, riesgo técnico como aquellos que afectan a la tecnología, al software y a los servicios SOA del FNA, y que se identifiquen dentro del ejercicio del flujo de trabajo de la Oficina de Arquitectura del FNA, objeto de este contrato, y los proyectos de arquitctura que los involucrados con la oficina ejecuten.</w:t>
      </w:r>
    </w:p>
    <w:p>
      <w:pPr>
        <w:pStyle w:val="FirstParagraph"/>
      </w:pPr>
      <w:r>
        <w:t xml:space="preserve">Para la aplicación de esta definición vamos a plantear los antecedentes necesarios que expliquen los métodos y procedimientos de tratamiento y modelamiento desarrollados posteriormente, en este proyecto.</w:t>
      </w:r>
    </w:p>
    <w:bookmarkEnd w:id="49"/>
    <w:bookmarkEnd w:id="50"/>
    <w:bookmarkStart w:id="51"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tomaremos como base tres análisis previamente realizados en la empresa:</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pStyle w:val="FirstParagraph"/>
      </w:pPr>
    </w:p>
    <w:p>
      <w:pPr>
        <w:pStyle w:val="Textoindependiente"/>
      </w:pPr>
      <w:r>
        <w:t xml:space="preserve">Es importante definir lo que es el riesgo técnico en el contexto de este proyecto para identificar y realizar las estructurar de información y diseños que los mitiguen.</w:t>
      </w:r>
    </w:p>
    <w:bookmarkEnd w:id="51"/>
    <w:bookmarkStart w:id="66" w:name="riesgos-técnicos-del-fna"/>
    <w:p>
      <w:pPr>
        <w:pStyle w:val="Ttulo1"/>
      </w:pPr>
      <w:r>
        <w:t xml:space="preserve">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Empresarial, y por consiguiente, por un débil gobierno,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a74a945</w:t>
            </w:r>
            <w:r>
              <w:t xml:space="preserve"> </w:t>
            </w:r>
            <w:r>
              <w:t xml:space="preserve">del 30 Jun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Start w:id="65" w:name="riesgos-tecnológicos-del-fna"/>
    <w:p>
      <w:pPr>
        <w:pStyle w:val="Ttulo2"/>
      </w:pPr>
      <w:r>
        <w:t xml:space="preserve">Riesgos Tecnológicos del FNA</w:t>
      </w:r>
    </w:p>
    <w:p>
      <w:pPr>
        <w:pStyle w:val="FirstParagraph"/>
      </w:pPr>
      <w:r>
        <w:t xml:space="preserve">Los riesgos tecnológicos encontrados en el diagnóstco SOA de Fase 1 (ver</w:t>
      </w:r>
      <w:r>
        <w:t xml:space="preserve"> </w:t>
      </w:r>
      <w:hyperlink r:id="rId29">
        <w:r>
          <w:rPr>
            <w:rStyle w:val="Hipervnculo"/>
          </w:rPr>
          <w:t xml:space="preserve">03.Fase 1 PR3 Resultado Diagnóstico Situación Actual</w:t>
        </w:r>
      </w:hyperlink>
      <w:r>
        <w:t xml:space="preserve">), y que describimos abajo, están incorporados a las vigilancias del gobierno SOA propuesto. A la vez, estos mismos riesgos descritos a continuación deben ser agregados a la matriz de gestión actual del Fondo, y gestionados por los métodos propios con los que ya cuenta el FNA.</w:t>
      </w:r>
    </w:p>
    <w:p>
      <w:pPr>
        <w:pStyle w:val="Textoindependiente"/>
      </w:pPr>
    </w:p>
    <w:bookmarkStart w:id="64" w:name="Xb16148173b312c3417e9191702cf1588a500394"/>
    <w:p>
      <w:pPr>
        <w:pStyle w:val="Ttulo3"/>
      </w:pPr>
      <w:r>
        <w:t xml:space="preserve">Gobierno SOA y Riesgos Tecnológicos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CaptionedFigure"/>
      </w:pPr>
      <w:r>
        <w:drawing>
          <wp:inline>
            <wp:extent cx="5600700" cy="2605986"/>
            <wp:effectExtent b="0" l="0" r="0" t="0"/>
            <wp:docPr descr="Riesgo no. 1 y 2. Agilidad limitada por el proliferación de la copmlejidad en los servicios SOA del Fondo" title="" id="53" name="Picture"/>
            <a:graphic>
              <a:graphicData uri="http://schemas.openxmlformats.org/drawingml/2006/picture">
                <pic:pic>
                  <pic:nvPicPr>
                    <pic:cNvPr descr="images/ESB-IBM.png" id="54" name="Picture"/>
                    <pic:cNvPicPr>
                      <a:picLocks noChangeArrowheads="1" noChangeAspect="1"/>
                    </pic:cNvPicPr>
                  </pic:nvPicPr>
                  <pic:blipFill>
                    <a:blip r:embed="rId52"/>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En el modelo “ae_fna_as_is.archimate” de situación actual del FNA no aparecen relaciones de este con los procesos de negocio. La principal utilización del bus (ESB-IBM, en la imagen) está destinada a la integración de aplicaciones." title="" id="56" name="Picture"/>
            <a:graphic>
              <a:graphicData uri="http://schemas.openxmlformats.org/drawingml/2006/picture">
                <pic:pic>
                  <pic:nvPicPr>
                    <pic:cNvPr descr="images/esb-procesos.png" id="57" name="Picture"/>
                    <pic:cNvPicPr>
                      <a:picLocks noChangeArrowheads="1" noChangeAspect="1"/>
                    </pic:cNvPicPr>
                  </pic:nvPicPr>
                  <pic:blipFill>
                    <a:blip r:embed="rId55"/>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En el modelo</w:t>
      </w:r>
      <w:r>
        <w:t xml:space="preserve"> </w:t>
      </w:r>
      <w:r>
        <w:t xml:space="preserve">“</w:t>
      </w:r>
      <w:r>
        <w:t xml:space="preserve">ae_fna_as_is.archimate</w:t>
      </w:r>
      <w:r>
        <w:t xml:space="preserve">”</w:t>
      </w:r>
      <w:r>
        <w:t xml:space="preserve"> </w:t>
      </w:r>
      <w:r>
        <w:t xml:space="preserve">de situación actual del FNA no aparecen relaciones de este con los procesos de negocio. La principal utilización del bus (ESB-IBM, en la imagen) está destinada a la integración de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En el modelo “ae_fna_as_is.archimate” no es posible encontrar relaciones del bus con los procesos." title="" id="59" name="Picture"/>
            <a:graphic>
              <a:graphicData uri="http://schemas.openxmlformats.org/drawingml/2006/picture">
                <pic:pic>
                  <pic:nvPicPr>
                    <pic:cNvPr descr="images/ESB-IBM-2.png" id="60" name="Picture"/>
                    <pic:cNvPicPr>
                      <a:picLocks noChangeArrowheads="1" noChangeAspect="1"/>
                    </pic:cNvPicPr>
                  </pic:nvPicPr>
                  <pic:blipFill>
                    <a:blip r:embed="rId58"/>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aumenta la cantidad de adaptadores particulares." title="" id="62" name="Picture"/>
            <a:graphic>
              <a:graphicData uri="http://schemas.openxmlformats.org/drawingml/2006/picture">
                <pic:pic>
                  <pic:nvPicPr>
                    <pic:cNvPr descr="images/CRM.png" id="63" name="Picture"/>
                    <pic:cNvPicPr>
                      <a:picLocks noChangeArrowheads="1" noChangeAspect="1"/>
                    </pic:cNvPicPr>
                  </pic:nvPicPr>
                  <pic:blipFill>
                    <a:blip r:embed="rId61"/>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bookmarkEnd w:id="64"/>
    <w:bookmarkEnd w:id="65"/>
    <w:bookmarkEnd w:id="66"/>
    <w:bookmarkStart w:id="71" w:name="referencias"/>
    <w:p>
      <w:pPr>
        <w:pStyle w:val="Ttulo1"/>
      </w:pPr>
      <w:r>
        <w:t xml:space="preserve">Referencias</w:t>
      </w:r>
    </w:p>
    <w:bookmarkStart w:id="67" w:name="refs"/>
    <w:p>
      <w:pPr>
        <w:pStyle w:val="Bibliography"/>
      </w:pPr>
      <w:r>
        <w:t xml:space="preserve">E-Service. Situación SOA Actual del FNA. Etapa I. (2022).</w:t>
      </w:r>
    </w:p>
    <w:bookmarkEnd w:id="67"/>
    <w:bookmarkStart w:id="68" w:name="refs"/>
    <w:p>
      <w:pPr>
        <w:pStyle w:val="Bibliography"/>
      </w:pPr>
      <w:r>
        <w:t xml:space="preserve">E-Service. Arquitectura de Referencia del FNA. Etapa II. (2023).</w:t>
      </w:r>
    </w:p>
    <w:bookmarkEnd w:id="68"/>
    <w:bookmarkStart w:id="69" w:name="refs"/>
    <w:p>
      <w:pPr>
        <w:pStyle w:val="Bibliography"/>
      </w:pPr>
      <w:r>
        <w:t xml:space="preserve">E-Service. Hoja de Ruta e Iniciativas. Etapa III. (2023).</w:t>
      </w:r>
    </w:p>
    <w:bookmarkEnd w:id="69"/>
    <w:bookmarkStart w:id="70" w:name="refs"/>
    <w:p>
      <w:pPr>
        <w:pStyle w:val="Bibliography"/>
      </w:pPr>
      <w:r>
        <w:t xml:space="preserve">TOGAF 9.1. Risk Management (2023). En https://pubs.opengroup.org/architecture/togaf9-doc/arch/chap27.html</w:t>
      </w:r>
    </w:p>
    <w:bookmarkEnd w:id="70"/>
    <w:bookmarkEnd w:id="7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34" Target="media/rId34.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a74a945052db1455d72d914d8a5b865bdb5680f9/"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a74a945052db1455d72d914d8a5b865bdb5680f9/"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2023-06-30T17:24:34Z</dcterms:created>
  <dcterms:modified xsi:type="dcterms:W3CDTF">2023-06-30T17:24:34Z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2023-06-30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