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STEF@be0c5e4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1.be0c5e4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1.be0c5e4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1.be0c5e4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64244622-5779-471b-a01b-09b2853d0862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1.be0c5e4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7b5b204f-7c49-4bc0-9823-a96c9718055b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49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48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49"/>
    <w:bookmarkEnd w:id="50"/>
    <w:bookmarkStart w:id="53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9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be0c5e4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52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51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6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6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6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6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6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6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6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  <w:r>
        <w:t xml:space="preserve">Riesgo no. 1 y 2. Agilidad limitada por el proliferación de la copmlejidad en los servicios SOA del Fondo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51"/>
    <w:bookmarkEnd w:id="52"/>
    <w:bookmarkEnd w:id="53"/>
    <w:bookmarkStart w:id="58" w:name="referencias"/>
    <w:p>
      <w:pPr>
        <w:pStyle w:val="Ttulo1"/>
      </w:pPr>
      <w:r>
        <w:t xml:space="preserve">Referencias</w:t>
      </w:r>
    </w:p>
    <w:bookmarkStart w:id="54" w:name="refs"/>
    <w:p>
      <w:pPr>
        <w:pStyle w:val="Bibliography"/>
      </w:pPr>
      <w:r>
        <w:t xml:space="preserve">E-Service. Situación SOA Actual del FNA. Etapa I. (2022).</w:t>
      </w:r>
    </w:p>
    <w:bookmarkEnd w:id="54"/>
    <w:bookmarkStart w:id="55" w:name="refs"/>
    <w:p>
      <w:pPr>
        <w:pStyle w:val="Bibliography"/>
      </w:pPr>
      <w:r>
        <w:t xml:space="preserve">E-Service. Arquitectura de Referencia del FNA. Etapa II. (2023).</w:t>
      </w:r>
    </w:p>
    <w:bookmarkEnd w:id="55"/>
    <w:bookmarkStart w:id="56" w:name="refs"/>
    <w:p>
      <w:pPr>
        <w:pStyle w:val="Bibliography"/>
      </w:pPr>
      <w:r>
        <w:t xml:space="preserve">E-Service. Hoja de Ruta e Iniciativas. Etapa III. (2023).</w:t>
      </w:r>
    </w:p>
    <w:bookmarkEnd w:id="56"/>
    <w:bookmarkStart w:id="57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7"/>
    <w:bookmarkEnd w:id="5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be0c5e4c915bc34f41d82afbf43d850fa406cee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be0c5e4c915bc34f41d82afbf43d850fa406cee1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2023-06-30T12:46:20Z</dcterms:created>
  <dcterms:modified xsi:type="dcterms:W3CDTF">2023-06-30T12:46:20Z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