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2.png" ContentType="image/png"/>
  <Override PartName="/word/media/rId59.png" ContentType="image/png"/>
  <Override PartName="/word/media/rId53.png" ContentType="image/png"/>
  <Override PartName="/word/media/rId56.png" ContentType="image/png"/>
  <Override PartName="/word/media/rId67.png" ContentType="image/png"/>
  <Override PartName="/word/media/rId80.png" ContentType="image/png"/>
  <Override PartName="/word/media/rId72.png" ContentType="image/png"/>
  <Override PartName="/word/media/rId3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STEF@e981e26</w:t>
        </w:r>
      </w:hyperlink>
      <w:r>
        <w:t xml:space="preserve"> </w:t>
      </w:r>
      <w:r>
        <w:t xml:space="preserve">del July 2, 2023.</w:t>
      </w:r>
      <w:r>
        <w:t xml:space="preserve"> </w:t>
      </w:r>
    </w:p>
    <w:p>
      <w:pPr>
        <w:pStyle w:val="Textoindependiente"/>
      </w:pPr>
      <w:r>
        <w:t xml:space="preserve">   </w:t>
      </w:r>
      <w:r>
        <w:rPr>
          <w:bCs/>
          <w:b/>
        </w:rPr>
        <w:t xml:space="preserve">Versión</w:t>
      </w:r>
      <w:r>
        <w:t xml:space="preserve"> </w:t>
      </w:r>
      <w:r>
        <w:t xml:space="preserve">del producto 1.e981e26 de 02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1.e981e26 del 02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02 Jul 2023</w:t>
      </w:r>
    </w:p>
    <w:p>
      <w:pPr>
        <w:pStyle w:val="Textodebloque"/>
      </w:pPr>
      <w:r>
        <w:rPr>
          <w:bCs/>
          <w:b/>
        </w:rPr>
        <w:t xml:space="preserve">Versión</w:t>
      </w:r>
      <w:r>
        <w:t xml:space="preserve"> </w:t>
      </w:r>
      <w:r>
        <w:t xml:space="preserve">1.e981e26</w:t>
      </w:r>
    </w:p>
    <w:p>
      <w:pPr>
        <w:pStyle w:val="FirstParagraph"/>
      </w:pPr>
    </w:p>
    <w:bookmarkEnd w:id="31"/>
    <w:bookmarkStart w:id="40"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los decisiones conciernentes a los trabajo de arquitectura del FNA dirigidos a la solución de estos problemas.</w:t>
      </w:r>
    </w:p>
    <w:bookmarkEnd w:id="32"/>
    <w:bookmarkStart w:id="33" w:name="contenidos-1"/>
    <w:p>
      <w:pPr>
        <w:pStyle w:val="Ttulo2"/>
      </w:pPr>
      <w:r>
        <w:t xml:space="preserve">Contenidos</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Aplicaciones de soporte a la Oficina de Arquitecura (Pr02) y a la Vicepresidencia de Tecnología del FNA</w:t>
      </w:r>
    </w:p>
    <w:p>
      <w:pPr>
        <w:numPr>
          <w:ilvl w:val="0"/>
          <w:numId w:val="1002"/>
        </w:numPr>
        <w:pStyle w:val="Compact"/>
      </w:pPr>
      <w:r>
        <w:t xml:space="preserve">Matriz de responsabilidades y procedimiento del Comité de Arquitectura</w:t>
      </w:r>
    </w:p>
    <w:p>
      <w:pPr>
        <w:numPr>
          <w:ilvl w:val="0"/>
          <w:numId w:val="1002"/>
        </w:numPr>
        <w:pStyle w:val="Compact"/>
      </w:pPr>
      <w:r>
        <w:t xml:space="preserve">Métodos de evaluación de arquitecturas para 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arquitetura del FNA</w:t>
      </w:r>
    </w:p>
    <w:p>
      <w:pPr>
        <w:pStyle w:val="FirstParagraph"/>
      </w:pPr>
    </w:p>
    <w:bookmarkEnd w:id="34"/>
    <w:bookmarkStart w:id="39" w:name="modelo-de-implementación-del-pry01"/>
    <w:p>
      <w:pPr>
        <w:pStyle w:val="Ttulo2"/>
      </w:pPr>
      <w:r>
        <w:t xml:space="preserve">Modelo de Implementación del PRY01</w:t>
      </w:r>
    </w:p>
    <w:bookmarkStart w:id="0" w:name="fig:6b854a61-c274-4259-b23e-4a132ffdb302"/>
    <w:p>
      <w:pPr>
        <w:pStyle w:val="CaptionedFigure"/>
      </w:pPr>
      <w:bookmarkStart w:id="38" w:name="fig:"/>
      <w:r>
        <w:drawing>
          <wp:inline>
            <wp:extent cx="5600700" cy="4499951"/>
            <wp:effectExtent b="0" l="0" r="0" t="0"/>
            <wp:docPr descr="Imagen 1: Plan de Implementación del Proyecto Gobierno SOA del FNA (PRY01), 2023. Junio 2023 a julio 2023" title="" id="36" name="Picture"/>
            <a:graphic>
              <a:graphicData uri="http://schemas.openxmlformats.org/drawingml/2006/picture">
                <pic:pic>
                  <pic:nvPicPr>
                    <pic:cNvPr descr="images/pry1gobierno.jpg" id="3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38"/>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pPr>
        <w:pStyle w:val="Textoindependiente"/>
      </w:pPr>
      <w:r>
        <w:t xml:space="preserve">Modelo operativo del Comité</w:t>
      </w:r>
    </w:p>
    <w:p>
      <w:pPr>
        <w:pStyle w:val="Textoindependiente"/>
      </w:pPr>
      <w:r>
        <w:t xml:space="preserve">La evaluación de arquitectura queda ordenada en 3 aspectos:</w:t>
      </w:r>
      <w:r>
        <w:t xml:space="preserve"> </w:t>
      </w:r>
      <w:r>
        <w:t xml:space="preserve">1. Riesgos técnicos</w:t>
      </w:r>
      <w:r>
        <w:t xml:space="preserve"> </w:t>
      </w:r>
      <w:r>
        <w:t xml:space="preserve">2. Puntos de Sensibilidad</w:t>
      </w:r>
      <w:r>
        <w:t xml:space="preserve"> </w:t>
      </w:r>
      <w:r>
        <w:t xml:space="preserve">3. Compensaciones</w:t>
      </w:r>
    </w:p>
    <w:p>
      <w:pPr>
        <w:pStyle w:val="Textoindependiente"/>
      </w:pPr>
      <w:r>
        <w:t xml:space="preserve">Mecánica</w:t>
      </w:r>
      <w:r>
        <w:t xml:space="preserve"> </w:t>
      </w:r>
      <w:r>
        <w:t xml:space="preserve">1. Elaboración de escenarios (Arq.)</w:t>
      </w:r>
      <w:r>
        <w:t xml:space="preserve"> </w:t>
      </w:r>
      <w:r>
        <w:t xml:space="preserve">2. Evaluación de escenarios (Eval.)</w:t>
      </w:r>
      <w:r>
        <w:t xml:space="preserve"> </w:t>
      </w:r>
      <w:r>
        <w:t xml:space="preserve">3. Calificación del árbol utilidad (Arq.)</w:t>
      </w:r>
    </w:p>
    <w:p>
      <w:pPr>
        <w:pStyle w:val="Textoindependiente"/>
      </w:pPr>
      <w:r>
        <w:t xml:space="preserve">Escenarios</w:t>
      </w:r>
      <w:r>
        <w:t xml:space="preserve"> </w:t>
      </w:r>
      <w:r>
        <w:t xml:space="preserve">* operaciones más usadas en el negocio: cuáles son?</w:t>
      </w: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02 Jul 2023</w:t>
      </w:r>
    </w:p>
    <w:p>
      <w:pPr>
        <w:pStyle w:val="Textodebloque"/>
      </w:pPr>
      <w:r>
        <w:rPr>
          <w:bCs/>
          <w:b/>
        </w:rPr>
        <w:t xml:space="preserve">Versión</w:t>
      </w:r>
      <w:r>
        <w:t xml:space="preserve"> </w:t>
      </w:r>
      <w:r>
        <w:t xml:space="preserve">1.e981e26</w:t>
      </w:r>
    </w:p>
    <w:p>
      <w:pPr>
        <w:pStyle w:val="FirstParagraph"/>
      </w:pPr>
    </w:p>
    <w:bookmarkEnd w:id="39"/>
    <w:bookmarkEnd w:id="40"/>
    <w:bookmarkStart w:id="51"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41"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41"/>
    <w:bookmarkStart w:id="42" w:name="contenidos-2"/>
    <w:p>
      <w:pPr>
        <w:pStyle w:val="Ttulo2"/>
      </w:pPr>
      <w:r>
        <w:t xml:space="preserve">Contenidos</w:t>
      </w:r>
    </w:p>
    <w:p>
      <w:pPr>
        <w:numPr>
          <w:ilvl w:val="0"/>
          <w:numId w:val="1004"/>
        </w:numPr>
        <w:pStyle w:val="Compact"/>
      </w:pPr>
      <w:r>
        <w:t xml:space="preserve">Definición e identificación del riesgo técnico del FNA (E-Service, Fase I)</w:t>
      </w:r>
    </w:p>
    <w:p>
      <w:pPr>
        <w:numPr>
          <w:ilvl w:val="0"/>
          <w:numId w:val="1004"/>
        </w:numPr>
        <w:pStyle w:val="Compact"/>
      </w:pPr>
      <w:r>
        <w:t xml:space="preserve">Modelamiento del riesgo técnico del FNA (Oficina de Arquitectura FNA)</w:t>
      </w:r>
    </w:p>
    <w:p>
      <w:pPr>
        <w:numPr>
          <w:ilvl w:val="0"/>
          <w:numId w:val="1004"/>
        </w:numPr>
        <w:pStyle w:val="Compact"/>
      </w:pPr>
      <w:r>
        <w:t xml:space="preserve">Métodos para el tratamiento de los riesgos técnicos E-Service Fase I</w:t>
      </w:r>
    </w:p>
    <w:p>
      <w:pPr>
        <w:pStyle w:val="FirstParagraph"/>
      </w:pPr>
    </w:p>
    <w:bookmarkEnd w:id="42"/>
    <w:bookmarkStart w:id="43" w:name="criterios-de-aceptación-1"/>
    <w:p>
      <w:pPr>
        <w:pStyle w:val="Ttulo2"/>
      </w:pPr>
      <w:r>
        <w:t xml:space="preserve">Criterios de Aceptación</w:t>
      </w:r>
    </w:p>
    <w:p>
      <w:pPr>
        <w:numPr>
          <w:ilvl w:val="0"/>
          <w:numId w:val="1005"/>
        </w:numPr>
        <w:pStyle w:val="Compact"/>
      </w:pPr>
      <w:r>
        <w:t xml:space="preserve">Procedimientos y técnicas de modelamiento para el tratamiento de los riesgos técnicos del FNA (E-Service, 2022)</w:t>
      </w:r>
    </w:p>
    <w:p>
      <w:pPr>
        <w:numPr>
          <w:ilvl w:val="0"/>
          <w:numId w:val="1005"/>
        </w:numPr>
        <w:pStyle w:val="Compact"/>
      </w:pPr>
      <w:r>
        <w:t xml:space="preserve">Matriz de riesgos técnicos e impactos del FNA</w:t>
      </w:r>
    </w:p>
    <w:p>
      <w:pPr>
        <w:pStyle w:val="FirstParagraph"/>
      </w:pPr>
    </w:p>
    <w:bookmarkEnd w:id="43"/>
    <w:bookmarkStart w:id="49" w:name="modelo-de-implementación-del-pry01-1"/>
    <w:p>
      <w:pPr>
        <w:pStyle w:val="Ttulo2"/>
      </w:pPr>
      <w:r>
        <w:t xml:space="preserve">Modelo de Implementación del PRY01</w:t>
      </w:r>
    </w:p>
    <w:bookmarkStart w:id="0" w:name="fig:b987324b-b1a1-4df0-be4d-ab1c0ff48d59"/>
    <w:p>
      <w:pPr>
        <w:pStyle w:val="CaptionedFigure"/>
      </w:pPr>
      <w:bookmarkStart w:id="46" w:name="fig:"/>
      <w:r>
        <w:drawing>
          <wp:inline>
            <wp:extent cx="5600700" cy="4499951"/>
            <wp:effectExtent b="0" l="0" r="0" t="0"/>
            <wp:docPr descr="Imagen 2: Plan de Implementación del Proyecto Gobierno SOA del FNA (PRY01), 2023. Junio 2023 a julio 2023" title="" id="44" name="Picture"/>
            <a:graphic>
              <a:graphicData uri="http://schemas.openxmlformats.org/drawingml/2006/picture">
                <pic:pic>
                  <pic:nvPicPr>
                    <pic:cNvPr descr="images/pry1gobierno.jpg" id="45"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46"/>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1.e981e26</w:t>
            </w:r>
            <w:r>
              <w:t xml:space="preserve"> </w:t>
            </w:r>
            <w:r>
              <w:t xml:space="preserve">del 02 Jul 2023</w:t>
            </w:r>
          </w:p>
        </w:tc>
      </w:tr>
      <w:tr>
        <w:tc>
          <w:tcPr/>
          <w:p>
            <w:pPr>
              <w:pStyle w:val="Compact"/>
              <w:jc w:val="left"/>
            </w:pPr>
            <w:r>
              <w:t xml:space="preserve">Vínculos</w:t>
            </w:r>
          </w:p>
        </w:tc>
        <w:tc>
          <w:tcPr/>
          <w:p>
            <w:pPr>
              <w:pStyle w:val="Compact"/>
              <w:jc w:val="left"/>
            </w:pPr>
            <w:hyperlink r:id="rId47">
              <w:r>
                <w:rPr>
                  <w:rStyle w:val="Hipervnculo"/>
                </w:rPr>
                <w:t xml:space="preserve">Ejecución Plan de Trabajo SOA</w:t>
              </w:r>
            </w:hyperlink>
            <w:r>
              <w:t xml:space="preserve">;</w:t>
            </w:r>
            <w:r>
              <w:t xml:space="preserve"> </w:t>
            </w:r>
            <w:hyperlink r:id="rId48">
              <w:r>
                <w:rPr>
                  <w:rStyle w:val="Hipervnculo"/>
                </w:rPr>
                <w:t xml:space="preserve">Procesos de Negocio FNA</w:t>
              </w:r>
            </w:hyperlink>
          </w:p>
        </w:tc>
      </w:tr>
    </w:tbl>
    <w:p>
      <w:pPr>
        <w:pStyle w:val="Textoindependiente"/>
      </w:pPr>
    </w:p>
    <w:bookmarkEnd w:id="49"/>
    <w:bookmarkStart w:id="50" w:name="Xc5c97f7920903615d2dd37bbe42739d0f6313a3"/>
    <w:p>
      <w:pPr>
        <w:pStyle w:val="Ttulo2"/>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aproximacines y definiciones de riesgo técnico generalmente aceptadas, como la enunciada por la ISO 31000:2009, o la del Enterprise Risk Management que citamos a contuación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consecusión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consecusión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efecticidad del repositorio de arquitectura, y la misma arquitectura del FNA mejorará</w:t>
      </w:r>
      <w:r>
        <w:t xml:space="preserve"> </w:t>
      </w:r>
      <w:r>
        <w:t xml:space="preserve">y su valor será evidente.</w:t>
      </w:r>
    </w:p>
    <w:bookmarkEnd w:id="50"/>
    <w:bookmarkEnd w:id="51"/>
    <w:bookmarkStart w:id="66"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52"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06"/>
        </w:numPr>
        <w:pStyle w:val="Compact"/>
      </w:pPr>
      <w:r>
        <w:t xml:space="preserve">Análisis de Madurez SOA del FNA (OSIMM, Open Group; E-Service, Fase I, 2022)</w:t>
      </w:r>
    </w:p>
    <w:p>
      <w:pPr>
        <w:numPr>
          <w:ilvl w:val="0"/>
          <w:numId w:val="1006"/>
        </w:numPr>
        <w:pStyle w:val="Compact"/>
      </w:pPr>
      <w:r>
        <w:t xml:space="preserve">Análisis de Fortalezas/Debilidades SOA del FNA (SOA Patterns, Enterprise Integration Patterns; E-Service, Fase I, 2022)</w:t>
      </w:r>
    </w:p>
    <w:p>
      <w:pPr>
        <w:numPr>
          <w:ilvl w:val="0"/>
          <w:numId w:val="1006"/>
        </w:numPr>
        <w:pStyle w:val="Compact"/>
      </w:pPr>
      <w:r>
        <w:t xml:space="preserve">Oportunidades Relevantes SOA del FNA (BPTrends; E-Service, Fase I, 2022)</w:t>
      </w:r>
    </w:p>
    <w:p>
      <w:pPr>
        <w:numPr>
          <w:ilvl w:val="0"/>
          <w:numId w:val="1006"/>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07"/>
        </w:numPr>
        <w:pStyle w:val="Compact"/>
      </w:pPr>
      <w:r>
        <w:t xml:space="preserve">R1. Riesgo de agilidad limitada (ver imagen 1)</w:t>
      </w:r>
    </w:p>
    <w:p>
      <w:pPr>
        <w:numPr>
          <w:ilvl w:val="0"/>
          <w:numId w:val="1007"/>
        </w:numPr>
        <w:pStyle w:val="Compact"/>
      </w:pPr>
      <w:r>
        <w:t xml:space="preserve">R2. Riesgo de baja orquestación SOA (ver imagen 2a y 2b)</w:t>
      </w:r>
    </w:p>
    <w:p>
      <w:pPr>
        <w:numPr>
          <w:ilvl w:val="0"/>
          <w:numId w:val="1007"/>
        </w:numPr>
        <w:pStyle w:val="Compact"/>
      </w:pPr>
      <w:r>
        <w:t xml:space="preserve">R3. Riesgo de crecimiento de dependencias entre servicios SOA</w:t>
      </w:r>
    </w:p>
    <w:p>
      <w:pPr>
        <w:numPr>
          <w:ilvl w:val="0"/>
          <w:numId w:val="1007"/>
        </w:numPr>
        <w:pStyle w:val="Compact"/>
      </w:pPr>
      <w:r>
        <w:t xml:space="preserve">R4. Riesgo de crecimiento de adaptadores particulares –opuesto al estándar– (ver imagen 3)</w:t>
      </w:r>
    </w:p>
    <w:p>
      <w:pPr>
        <w:numPr>
          <w:ilvl w:val="0"/>
          <w:numId w:val="1007"/>
        </w:numPr>
        <w:pStyle w:val="Compact"/>
      </w:pPr>
      <w:r>
        <w:t xml:space="preserve">R5. Riesgo de baja reutilización de servicios SOA</w:t>
      </w:r>
    </w:p>
    <w:p>
      <w:pPr>
        <w:numPr>
          <w:ilvl w:val="0"/>
          <w:numId w:val="1007"/>
        </w:numPr>
        <w:pStyle w:val="Compact"/>
      </w:pPr>
      <w:r>
        <w:t xml:space="preserve">R6. Riesgo de permanencia de silos (islas) de servicios SOA y aplicaciones</w:t>
      </w:r>
    </w:p>
    <w:p>
      <w:pPr>
        <w:numPr>
          <w:ilvl w:val="0"/>
          <w:numId w:val="1007"/>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diagneosticos.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52"/>
    <w:bookmarkStart w:id="65"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54" name="Picture"/>
            <a:graphic>
              <a:graphicData uri="http://schemas.openxmlformats.org/drawingml/2006/picture">
                <pic:pic>
                  <pic:nvPicPr>
                    <pic:cNvPr descr="images/ESB-IBM.png" id="55" name="Picture"/>
                    <pic:cNvPicPr>
                      <a:picLocks noChangeArrowheads="1" noChangeAspect="1"/>
                    </pic:cNvPicPr>
                  </pic:nvPicPr>
                  <pic:blipFill>
                    <a:blip r:embed="rId53"/>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57" name="Picture"/>
            <a:graphic>
              <a:graphicData uri="http://schemas.openxmlformats.org/drawingml/2006/picture">
                <pic:pic>
                  <pic:nvPicPr>
                    <pic:cNvPr descr="images/esb-procesos.png" id="58" name="Picture"/>
                    <pic:cNvPicPr>
                      <a:picLocks noChangeArrowheads="1" noChangeAspect="1"/>
                    </pic:cNvPicPr>
                  </pic:nvPicPr>
                  <pic:blipFill>
                    <a:blip r:embed="rId56"/>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60" name="Picture"/>
            <a:graphic>
              <a:graphicData uri="http://schemas.openxmlformats.org/drawingml/2006/picture">
                <pic:pic>
                  <pic:nvPicPr>
                    <pic:cNvPr descr="images/ESB-IBM-2.png" id="61" name="Picture"/>
                    <pic:cNvPicPr>
                      <a:picLocks noChangeArrowheads="1" noChangeAspect="1"/>
                    </pic:cNvPicPr>
                  </pic:nvPicPr>
                  <pic:blipFill>
                    <a:blip r:embed="rId59"/>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63" name="Picture"/>
            <a:graphic>
              <a:graphicData uri="http://schemas.openxmlformats.org/drawingml/2006/picture">
                <pic:pic>
                  <pic:nvPicPr>
                    <pic:cNvPr descr="images/CRM.png" id="64" name="Picture"/>
                    <pic:cNvPicPr>
                      <a:picLocks noChangeArrowheads="1" noChangeAspect="1"/>
                    </pic:cNvPicPr>
                  </pic:nvPicPr>
                  <pic:blipFill>
                    <a:blip r:embed="rId62"/>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Riesgos tecnológicos del FNA</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e981e26</w:t>
            </w:r>
            <w:r>
              <w:t xml:space="preserve"> </w:t>
            </w:r>
            <w:r>
              <w:t xml:space="preserve">del 02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65"/>
    <w:bookmarkEnd w:id="66"/>
    <w:bookmarkStart w:id="77"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71" w:name="X8dd41722dd7303b99ac287c0461c4f521ac2fe2"/>
    <w:p>
      <w:pPr>
        <w:pStyle w:val="Ttulo2"/>
      </w:pPr>
      <w:r>
        <w:t xml:space="preserve">Gobierno SOA del FNA con Gestión de Riesgos de Arquitectura (versión 0.6)</w:t>
      </w:r>
    </w:p>
    <w:p>
      <w:pPr>
        <w:pStyle w:val="FirstParagraph"/>
      </w:pPr>
      <w:r>
        <w:t xml:space="preserve">La versión 0.6 del Gobierno realiará el tratamiento de las áreas de riesgo R1 a R7 sumando la capacidad de registro de riesgos del repositorio de arquitectura (Gestor de riesgo, en la gráfica).</w:t>
      </w:r>
    </w:p>
    <w:bookmarkStart w:id="0" w:name="fig:cbf8115a-5158-43e8-868a-c7494f95be1a"/>
    <w:p>
      <w:pPr>
        <w:pStyle w:val="CaptionedFigure"/>
      </w:pPr>
      <w:bookmarkStart w:id="70" w:name="fig:"/>
      <w:r>
        <w:drawing>
          <wp:inline>
            <wp:extent cx="5600700" cy="3976532"/>
            <wp:effectExtent b="0" l="0" r="0" t="0"/>
            <wp:docPr descr="Imagen 3: Modelo de gobierno SOA del FNA, versión 0.6. Incorpora las actividades de gestión de riesgo, y las capaciddes del repositorio de arquitectura." title="" id="68" name="Picture"/>
            <a:graphic>
              <a:graphicData uri="http://schemas.openxmlformats.org/drawingml/2006/picture">
                <pic:pic>
                  <pic:nvPicPr>
                    <pic:cNvPr descr="images/modelogob06.png" id="69" name="Picture"/>
                    <pic:cNvPicPr>
                      <a:picLocks noChangeArrowheads="1" noChangeAspect="1"/>
                    </pic:cNvPicPr>
                  </pic:nvPicPr>
                  <pic:blipFill>
                    <a:blip r:embed="rId67"/>
                    <a:stretch>
                      <a:fillRect/>
                    </a:stretch>
                  </pic:blipFill>
                  <pic:spPr bwMode="auto">
                    <a:xfrm>
                      <a:off x="0" y="0"/>
                      <a:ext cx="5600700" cy="3976532"/>
                    </a:xfrm>
                    <a:prstGeom prst="rect">
                      <a:avLst/>
                    </a:prstGeom>
                    <a:noFill/>
                    <a:ln w="9525">
                      <a:noFill/>
                      <a:headEnd/>
                      <a:tailEnd/>
                    </a:ln>
                  </pic:spPr>
                </pic:pic>
              </a:graphicData>
            </a:graphic>
          </wp:inline>
        </w:drawing>
      </w:r>
      <w:bookmarkEnd w:id="70"/>
    </w:p>
    <w:p>
      <w:pPr>
        <w:pStyle w:val="ImageCaption"/>
      </w:pPr>
      <w:r>
        <w:t xml:space="preserve">Imagen 3: Modelo de gobierno SOA del FNA, versión 0.6. Incorpora las actividades de gestión de riesgo, y las capaciddes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08"/>
        </w:numPr>
        <w:pStyle w:val="Compact"/>
      </w:pPr>
      <w:r>
        <w:t xml:space="preserve">Relación Area FNA - Riesgo</w:t>
      </w:r>
    </w:p>
    <w:p>
      <w:pPr>
        <w:numPr>
          <w:ilvl w:val="0"/>
          <w:numId w:val="1008"/>
        </w:numPr>
        <w:pStyle w:val="Compact"/>
      </w:pPr>
      <w:r>
        <w:t xml:space="preserve">Valoración del riesgo</w:t>
      </w:r>
    </w:p>
    <w:p>
      <w:pPr>
        <w:numPr>
          <w:ilvl w:val="0"/>
          <w:numId w:val="1008"/>
        </w:numPr>
        <w:pStyle w:val="Compact"/>
      </w:pPr>
      <w:r>
        <w:t xml:space="preserve">Relación Arquitectura FNA - Riesgo</w:t>
      </w:r>
    </w:p>
    <w:p>
      <w:pPr>
        <w:pStyle w:val="FirstParagraph"/>
      </w:pPr>
    </w:p>
    <w:bookmarkEnd w:id="71"/>
    <w:bookmarkStart w:id="76"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para la Oficina de Arquitectura del FNA. Debemos dotar al flujo de trabajo de esta con las capacidades, recursos y roles, funciones y procedimientos para medir y gestionar los riesgos.</w:t>
      </w:r>
    </w:p>
    <w:bookmarkStart w:id="0" w:name="fig:39700356-f290-4ae2-97b6-3c919e080555"/>
    <w:p>
      <w:pPr>
        <w:pStyle w:val="CaptionedFigure"/>
      </w:pPr>
      <w:bookmarkStart w:id="75" w:name="fig:"/>
      <w:r>
        <w:drawing>
          <wp:inline>
            <wp:extent cx="5600700" cy="5260757"/>
            <wp:effectExtent b="0" l="0" r="0" t="0"/>
            <wp:docPr descr="Imagen 4: Modelo de Gobierno SOA. Adaptación FNA. Recursos y Herramientas de Gestión del Riesgo de Arquitectura del FNA." title="" id="73" name="Picture"/>
            <a:graphic>
              <a:graphicData uri="http://schemas.openxmlformats.org/drawingml/2006/picture">
                <pic:pic>
                  <pic:nvPicPr>
                    <pic:cNvPr descr="images/oficinamodelo06.png" id="74" name="Picture"/>
                    <pic:cNvPicPr>
                      <a:picLocks noChangeArrowheads="1" noChangeAspect="1"/>
                    </pic:cNvPicPr>
                  </pic:nvPicPr>
                  <pic:blipFill>
                    <a:blip r:embed="rId72"/>
                    <a:stretch>
                      <a:fillRect/>
                    </a:stretch>
                  </pic:blipFill>
                  <pic:spPr bwMode="auto">
                    <a:xfrm>
                      <a:off x="0" y="0"/>
                      <a:ext cx="5600700" cy="5260757"/>
                    </a:xfrm>
                    <a:prstGeom prst="rect">
                      <a:avLst/>
                    </a:prstGeom>
                    <a:noFill/>
                    <a:ln w="9525">
                      <a:noFill/>
                      <a:headEnd/>
                      <a:tailEnd/>
                    </a:ln>
                  </pic:spPr>
                </pic:pic>
              </a:graphicData>
            </a:graphic>
          </wp:inline>
        </w:drawing>
      </w:r>
      <w:bookmarkEnd w:id="75"/>
    </w:p>
    <w:p>
      <w:pPr>
        <w:pStyle w:val="ImageCaption"/>
      </w:pPr>
      <w:r>
        <w:t xml:space="preserve">Imagen 4: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 Arquitectura del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1.e981e26</w:t>
            </w:r>
            <w:r>
              <w:t xml:space="preserve"> </w:t>
            </w:r>
            <w:r>
              <w:t xml:space="preserve">del 02 Jul 2023</w:t>
            </w:r>
          </w:p>
        </w:tc>
      </w:tr>
      <w:tr>
        <w:tc>
          <w:tcPr/>
          <w:p>
            <w:pPr>
              <w:pStyle w:val="Compact"/>
              <w:jc w:val="left"/>
            </w:pPr>
            <w:r>
              <w:t xml:space="preserve">Vínculos</w:t>
            </w:r>
          </w:p>
        </w:tc>
        <w:tc>
          <w:tcPr/>
          <w:p>
            <w:pPr>
              <w:pStyle w:val="Compact"/>
              <w:jc w:val="left"/>
            </w:pPr>
            <w:hyperlink r:id="rId47">
              <w:r>
                <w:rPr>
                  <w:rStyle w:val="Hipervnculo"/>
                </w:rPr>
                <w:t xml:space="preserve">Ejecución Plan de Trabajo SOA</w:t>
              </w:r>
            </w:hyperlink>
            <w:r>
              <w:t xml:space="preserve">;</w:t>
            </w:r>
            <w:r>
              <w:t xml:space="preserve"> </w:t>
            </w:r>
            <w:hyperlink r:id="rId48">
              <w:r>
                <w:rPr>
                  <w:rStyle w:val="Hipervnculo"/>
                </w:rPr>
                <w:t xml:space="preserve">Procesos de Negocio FNA</w:t>
              </w:r>
            </w:hyperlink>
          </w:p>
        </w:tc>
      </w:tr>
    </w:tbl>
    <w:p>
      <w:pPr>
        <w:pStyle w:val="Textoindependiente"/>
      </w:pPr>
    </w:p>
    <w:bookmarkEnd w:id="76"/>
    <w:bookmarkEnd w:id="77"/>
    <w:bookmarkStart w:id="85" w:name="X4c52529cc3c973e33b718fe59294899a7f11ea8"/>
    <w:p>
      <w:pPr>
        <w:pStyle w:val="Ttulo1"/>
      </w:pPr>
      <w:r>
        <w:t xml:space="preserve">Técnica para Modelar Riesgos de Arquitectura para el FNA</w:t>
      </w:r>
    </w:p>
    <w:p>
      <w:pPr>
        <w:pStyle w:val="FirstParagraph"/>
      </w:pPr>
      <w:r>
        <w:t xml:space="preserve">Para completar el cumplimiento del objetivo de manejo de riesgos del Gobierno SOA del FNA, versión 0.6, y de dotar a la oficina de arquitectura de los recursos para cumplir tal objetivo, desarrollamos a continuación las consideraciones para modelar en el repositorio de arquitectura los riesgos de la arquitectura, lo cual contribye de gran manera a la gestión y tratamiento de los mismos.</w:t>
      </w:r>
    </w:p>
    <w:bookmarkStart w:id="79" w:name="Xfed1ebc330465ef4b7d8652d57252ba3c8f4ac4"/>
    <w:p>
      <w:pPr>
        <w:pStyle w:val="Ttulo2"/>
      </w:pPr>
      <w:r>
        <w:t xml:space="preserve">Correspondencia de Conceptos del Riesgo y Arquitectura</w:t>
      </w:r>
    </w:p>
    <w:p>
      <w:pPr>
        <w:pStyle w:val="FirstParagraph"/>
      </w:pPr>
      <w:r>
        <w:t xml:space="preserve">Es fundamental establecer una correspondencia de conceptos con el</w:t>
      </w:r>
      <w:r>
        <w:t xml:space="preserve"> </w:t>
      </w:r>
      <w:r>
        <w:t xml:space="preserve">“</w:t>
      </w:r>
      <w:r>
        <w:t xml:space="preserve">mundo</w:t>
      </w:r>
      <w:r>
        <w:t xml:space="preserve">”</w:t>
      </w:r>
      <w:r>
        <w:t xml:space="preserve"> </w:t>
      </w:r>
      <w:r>
        <w:t xml:space="preserve">y el lenguaje de modelado, que en el caso de la arquitectura es ArchiMate 2.1 (o superior). La siguiente tabla presenta una posible correspondencia entre los conceptos del riesgo técnico de la arquitectura y el lenguaje indicado.</w:t>
      </w:r>
    </w:p>
    <w:p>
      <w:pPr>
        <w:pStyle w:val="Textoindependiente"/>
      </w:pPr>
    </w:p>
    <w:bookmarkStart w:id="0" w:name="tbl:riesgo1-id"/>
    <w:bookmarkStart w:id="78" w:name="tbl:riesgo1-id"/>
    <w:p>
      <w:pPr>
        <w:pStyle w:val="TableCaption"/>
      </w:pPr>
      <w:r>
        <w:t xml:space="preserve">Tabla 1: Correspondencia de Conceptos del Riesgo del Gobierno SOA del FNA, versión 0.6.</w:t>
      </w:r>
      <w:r>
        <w:t xml:space="preserve"> </w:t>
      </w:r>
    </w:p>
    <w:tbl>
      <w:tblPr>
        <w:tblStyle w:val="Table"/>
        <w:tblW w:type="auto" w:w="0"/>
        <w:tblLook w:firstRow="1" w:lastRow="0" w:firstColumn="0" w:lastColumn="0" w:noHBand="0" w:noVBand="0" w:val="0020"/>
        <w:tblCaption w:val="Tabla 1: Correspondencia de Conceptos del Riesgo del Gobierno SOA del FNA, versión 0.6. "/>
      </w:tblPr>
      <w:tblGrid>
        <w:gridCol w:w="2640"/>
        <w:gridCol w:w="2640"/>
        <w:gridCol w:w="2640"/>
      </w:tblGrid>
      <w:tr>
        <w:trPr>
          <w:tblHeader w:val="true"/>
        </w:trPr>
        <w:tc>
          <w:tcPr/>
          <w:p>
            <w:pPr>
              <w:pStyle w:val="Compact"/>
              <w:jc w:val="left"/>
            </w:pPr>
            <w:r>
              <w:t xml:space="preserve">Correspondencia</w:t>
            </w:r>
          </w:p>
        </w:tc>
        <w:tc>
          <w:tcPr/>
          <w:p>
            <w:pPr>
              <w:pStyle w:val="Compact"/>
              <w:jc w:val="left"/>
            </w:pPr>
            <w:r>
              <w:t xml:space="preserve">Concepto real</w:t>
            </w:r>
          </w:p>
        </w:tc>
        <w:tc>
          <w:tcPr/>
          <w:p>
            <w:pPr>
              <w:pStyle w:val="Compact"/>
              <w:jc w:val="left"/>
            </w:pPr>
            <w:r>
              <w:t xml:space="preserve">Concepto Archimate</w:t>
            </w:r>
          </w:p>
        </w:tc>
      </w:tr>
      <w:tr>
        <w:tc>
          <w:tcPr/>
          <w:p>
            <w:pPr>
              <w:pStyle w:val="Compact"/>
              <w:jc w:val="left"/>
            </w:pPr>
            <w:r>
              <w:t xml:space="preserve">1.</w:t>
            </w:r>
          </w:p>
        </w:tc>
        <w:tc>
          <w:tcPr/>
          <w:p>
            <w:pPr>
              <w:pStyle w:val="Compact"/>
              <w:jc w:val="left"/>
            </w:pPr>
            <w:r>
              <w:t xml:space="preserve">Riesgo</w:t>
            </w:r>
          </w:p>
        </w:tc>
        <w:tc>
          <w:tcPr/>
          <w:p>
            <w:pPr>
              <w:pStyle w:val="Compact"/>
              <w:jc w:val="left"/>
            </w:pPr>
            <w:r>
              <w:t xml:space="preserve">Outcome</w:t>
            </w:r>
          </w:p>
        </w:tc>
      </w:tr>
      <w:tr>
        <w:tc>
          <w:tcPr/>
          <w:p>
            <w:pPr>
              <w:pStyle w:val="Compact"/>
              <w:jc w:val="left"/>
            </w:pPr>
            <w:r>
              <w:t xml:space="preserve">2.</w:t>
            </w:r>
          </w:p>
        </w:tc>
        <w:tc>
          <w:tcPr/>
          <w:p>
            <w:pPr>
              <w:pStyle w:val="Compact"/>
              <w:jc w:val="left"/>
            </w:pPr>
            <w:r>
              <w:t xml:space="preserve">Amenaza</w:t>
            </w:r>
          </w:p>
        </w:tc>
        <w:tc>
          <w:tcPr/>
          <w:p>
            <w:pPr>
              <w:pStyle w:val="Compact"/>
              <w:jc w:val="left"/>
            </w:pPr>
            <w:r>
              <w:t xml:space="preserve">Assessment</w:t>
            </w:r>
          </w:p>
        </w:tc>
      </w:tr>
      <w:tr>
        <w:tc>
          <w:tcPr/>
          <w:p>
            <w:pPr>
              <w:pStyle w:val="Compact"/>
              <w:jc w:val="left"/>
            </w:pPr>
            <w:r>
              <w:t xml:space="preserve">3.</w:t>
            </w:r>
          </w:p>
        </w:tc>
        <w:tc>
          <w:tcPr/>
          <w:p>
            <w:pPr>
              <w:pStyle w:val="Compact"/>
              <w:jc w:val="left"/>
            </w:pPr>
            <w:r>
              <w:t xml:space="preserve">Vulnerabilidad</w:t>
            </w:r>
          </w:p>
        </w:tc>
        <w:tc>
          <w:tcPr/>
          <w:p>
            <w:pPr>
              <w:pStyle w:val="Compact"/>
              <w:jc w:val="left"/>
            </w:pPr>
            <w:r>
              <w:t xml:space="preserve">Assessment</w:t>
            </w:r>
          </w:p>
        </w:tc>
      </w:tr>
      <w:tr>
        <w:tc>
          <w:tcPr/>
          <w:p>
            <w:pPr>
              <w:pStyle w:val="Compact"/>
              <w:jc w:val="left"/>
            </w:pPr>
            <w:r>
              <w:t xml:space="preserve">4.</w:t>
            </w:r>
          </w:p>
        </w:tc>
        <w:tc>
          <w:tcPr/>
          <w:p>
            <w:pPr>
              <w:pStyle w:val="Compact"/>
              <w:jc w:val="left"/>
            </w:pPr>
            <w:r>
              <w:t xml:space="preserve">Impacto</w:t>
            </w:r>
          </w:p>
        </w:tc>
        <w:tc>
          <w:tcPr/>
          <w:p>
            <w:pPr>
              <w:pStyle w:val="Compact"/>
              <w:jc w:val="left"/>
            </w:pPr>
            <w:r>
              <w:t xml:space="preserve">Outcome</w:t>
            </w:r>
          </w:p>
        </w:tc>
      </w:tr>
      <w:tr>
        <w:tc>
          <w:tcPr/>
          <w:p>
            <w:pPr>
              <w:pStyle w:val="Compact"/>
              <w:jc w:val="left"/>
            </w:pPr>
            <w:r>
              <w:t xml:space="preserve">5.</w:t>
            </w:r>
          </w:p>
        </w:tc>
        <w:tc>
          <w:tcPr/>
          <w:p>
            <w:pPr>
              <w:pStyle w:val="Compact"/>
              <w:jc w:val="left"/>
            </w:pPr>
            <w:r>
              <w:t xml:space="preserve">Activo / ítem</w:t>
            </w:r>
          </w:p>
        </w:tc>
        <w:tc>
          <w:tcPr/>
          <w:p>
            <w:pPr>
              <w:pStyle w:val="Compact"/>
              <w:jc w:val="left"/>
            </w:pPr>
            <w:r>
              <w:t xml:space="preserve">Resource, Core Element</w:t>
            </w:r>
          </w:p>
        </w:tc>
      </w:tr>
      <w:tr>
        <w:tc>
          <w:tcPr/>
          <w:p>
            <w:pPr>
              <w:pStyle w:val="Compact"/>
              <w:jc w:val="left"/>
            </w:pPr>
            <w:r>
              <w:t xml:space="preserve">6.</w:t>
            </w:r>
          </w:p>
        </w:tc>
        <w:tc>
          <w:tcPr/>
          <w:p>
            <w:pPr>
              <w:pStyle w:val="Compact"/>
              <w:jc w:val="left"/>
            </w:pPr>
            <w:r>
              <w:t xml:space="preserve">Agente riesgo</w:t>
            </w:r>
          </w:p>
        </w:tc>
        <w:tc>
          <w:tcPr/>
          <w:p>
            <w:pPr>
              <w:pStyle w:val="Compact"/>
              <w:jc w:val="left"/>
            </w:pPr>
            <w:r>
              <w:t xml:space="preserve">Active Structure Element</w:t>
            </w:r>
          </w:p>
        </w:tc>
      </w:tr>
      <w:tr>
        <w:tc>
          <w:tcPr/>
          <w:p>
            <w:pPr>
              <w:pStyle w:val="Compact"/>
              <w:jc w:val="left"/>
            </w:pPr>
            <w:r>
              <w:t xml:space="preserve">7.</w:t>
            </w:r>
          </w:p>
        </w:tc>
        <w:tc>
          <w:tcPr/>
          <w:p>
            <w:pPr>
              <w:pStyle w:val="Compact"/>
              <w:jc w:val="left"/>
            </w:pPr>
            <w:r>
              <w:t xml:space="preserve">Evento riesgoso</w:t>
            </w:r>
          </w:p>
        </w:tc>
        <w:tc>
          <w:tcPr/>
          <w:p>
            <w:pPr>
              <w:pStyle w:val="Compact"/>
              <w:jc w:val="left"/>
            </w:pPr>
            <w:r>
              <w:t xml:space="preserve">Business Event</w:t>
            </w:r>
          </w:p>
        </w:tc>
      </w:tr>
      <w:tr>
        <w:tc>
          <w:tcPr/>
          <w:p>
            <w:pPr>
              <w:pStyle w:val="Compact"/>
              <w:jc w:val="left"/>
            </w:pPr>
            <w:r>
              <w:t xml:space="preserve">8.</w:t>
            </w:r>
          </w:p>
        </w:tc>
        <w:tc>
          <w:tcPr/>
          <w:p>
            <w:pPr>
              <w:pStyle w:val="Compact"/>
              <w:jc w:val="left"/>
            </w:pPr>
            <w:r>
              <w:t xml:space="preserve">Security Goal</w:t>
            </w:r>
          </w:p>
        </w:tc>
        <w:tc>
          <w:tcPr/>
          <w:p>
            <w:pPr>
              <w:pStyle w:val="Compact"/>
              <w:jc w:val="left"/>
            </w:pPr>
            <w:r>
              <w:t xml:space="preserve">Goal</w:t>
            </w:r>
          </w:p>
        </w:tc>
      </w:tr>
      <w:tr>
        <w:tc>
          <w:tcPr/>
          <w:p>
            <w:pPr>
              <w:pStyle w:val="Compact"/>
              <w:jc w:val="left"/>
            </w:pPr>
            <w:r>
              <w:t xml:space="preserve">9.</w:t>
            </w:r>
          </w:p>
        </w:tc>
        <w:tc>
          <w:tcPr/>
          <w:p>
            <w:pPr>
              <w:pStyle w:val="Compact"/>
              <w:jc w:val="left"/>
            </w:pPr>
            <w:r>
              <w:t xml:space="preserve">Security Outcome</w:t>
            </w:r>
          </w:p>
        </w:tc>
        <w:tc>
          <w:tcPr/>
          <w:p>
            <w:pPr>
              <w:pStyle w:val="Compact"/>
              <w:jc w:val="left"/>
            </w:pPr>
            <w:r>
              <w:t xml:space="preserve">Outcome</w:t>
            </w:r>
          </w:p>
        </w:tc>
      </w:tr>
      <w:tr>
        <w:tc>
          <w:tcPr/>
          <w:p>
            <w:pPr>
              <w:pStyle w:val="Compact"/>
              <w:jc w:val="left"/>
            </w:pPr>
            <w:r>
              <w:t xml:space="preserve">10.</w:t>
            </w:r>
          </w:p>
        </w:tc>
        <w:tc>
          <w:tcPr/>
          <w:p>
            <w:pPr>
              <w:pStyle w:val="Compact"/>
              <w:jc w:val="left"/>
            </w:pPr>
            <w:r>
              <w:t xml:space="preserve">Security Principle</w:t>
            </w:r>
          </w:p>
        </w:tc>
        <w:tc>
          <w:tcPr/>
          <w:p>
            <w:pPr>
              <w:pStyle w:val="Compact"/>
              <w:jc w:val="left"/>
            </w:pPr>
            <w:r>
              <w:t xml:space="preserve">Principle</w:t>
            </w:r>
          </w:p>
        </w:tc>
      </w:tr>
      <w:tr>
        <w:tc>
          <w:tcPr/>
          <w:p>
            <w:pPr>
              <w:pStyle w:val="Compact"/>
              <w:jc w:val="left"/>
            </w:pPr>
            <w:r>
              <w:t xml:space="preserve">11.</w:t>
            </w:r>
          </w:p>
        </w:tc>
        <w:tc>
          <w:tcPr/>
          <w:p>
            <w:pPr>
              <w:pStyle w:val="Compact"/>
              <w:jc w:val="left"/>
            </w:pPr>
            <w:r>
              <w:t xml:space="preserve">Security Requirement</w:t>
            </w:r>
          </w:p>
        </w:tc>
        <w:tc>
          <w:tcPr/>
          <w:p>
            <w:pPr>
              <w:pStyle w:val="Compact"/>
              <w:jc w:val="left"/>
            </w:pPr>
            <w:r>
              <w:t xml:space="preserve">Requirement</w:t>
            </w:r>
          </w:p>
        </w:tc>
      </w:tr>
      <w:tr>
        <w:tc>
          <w:tcPr/>
          <w:p>
            <w:pPr>
              <w:pStyle w:val="Compact"/>
              <w:jc w:val="left"/>
            </w:pPr>
            <w:r>
              <w:t xml:space="preserve">12.</w:t>
            </w:r>
          </w:p>
        </w:tc>
        <w:tc>
          <w:tcPr/>
          <w:p>
            <w:pPr>
              <w:pStyle w:val="Compact"/>
              <w:jc w:val="left"/>
            </w:pPr>
            <w:r>
              <w:t xml:space="preserve">Security Compliance</w:t>
            </w:r>
          </w:p>
        </w:tc>
        <w:tc>
          <w:tcPr/>
          <w:p>
            <w:pPr>
              <w:pStyle w:val="Compact"/>
              <w:jc w:val="left"/>
            </w:pPr>
            <w:r>
              <w:t xml:space="preserve">Requirement</w:t>
            </w:r>
          </w:p>
        </w:tc>
      </w:tr>
      <w:tr>
        <w:tc>
          <w:tcPr/>
          <w:p>
            <w:pPr>
              <w:pStyle w:val="Compact"/>
              <w:jc w:val="left"/>
            </w:pPr>
            <w:r>
              <w:t xml:space="preserve">13.</w:t>
            </w:r>
          </w:p>
        </w:tc>
        <w:tc>
          <w:tcPr/>
          <w:p>
            <w:pPr>
              <w:pStyle w:val="Compact"/>
              <w:jc w:val="left"/>
            </w:pPr>
            <w:r>
              <w:t xml:space="preserve">Security Control</w:t>
            </w:r>
          </w:p>
        </w:tc>
        <w:tc>
          <w:tcPr/>
          <w:p>
            <w:pPr>
              <w:pStyle w:val="Compact"/>
              <w:jc w:val="left"/>
            </w:pPr>
            <w:r>
              <w:t xml:space="preserve">Requirement</w:t>
            </w:r>
          </w:p>
        </w:tc>
      </w:tr>
      <w:tr>
        <w:tc>
          <w:tcPr/>
          <w:p>
            <w:pPr>
              <w:pStyle w:val="Compact"/>
              <w:jc w:val="left"/>
            </w:pPr>
            <w:r>
              <w:t xml:space="preserve">14.</w:t>
            </w:r>
          </w:p>
        </w:tc>
        <w:tc>
          <w:tcPr/>
          <w:p>
            <w:pPr>
              <w:pStyle w:val="Compact"/>
              <w:jc w:val="left"/>
            </w:pPr>
            <w:r>
              <w:t xml:space="preserve">Security Measure</w:t>
            </w:r>
          </w:p>
        </w:tc>
        <w:tc>
          <w:tcPr/>
          <w:p>
            <w:pPr>
              <w:pStyle w:val="Compact"/>
              <w:jc w:val="left"/>
            </w:pPr>
            <w:r>
              <w:t xml:space="preserve">Requirement</w:t>
            </w:r>
          </w:p>
        </w:tc>
      </w:tr>
      <w:tr>
        <w:tc>
          <w:tcPr/>
          <w:p>
            <w:pPr>
              <w:pStyle w:val="Compact"/>
              <w:jc w:val="left"/>
            </w:pPr>
            <w:r>
              <w:t xml:space="preserve">15.</w:t>
            </w:r>
          </w:p>
        </w:tc>
        <w:tc>
          <w:tcPr/>
          <w:p>
            <w:pPr>
              <w:pStyle w:val="Compact"/>
              <w:jc w:val="left"/>
            </w:pPr>
            <w:r>
              <w:t xml:space="preserve">Security Constraint</w:t>
            </w:r>
          </w:p>
        </w:tc>
        <w:tc>
          <w:tcPr/>
          <w:p>
            <w:pPr>
              <w:pStyle w:val="Compact"/>
              <w:jc w:val="left"/>
            </w:pPr>
            <w:r>
              <w:t xml:space="preserve">Constraint</w:t>
            </w:r>
          </w:p>
        </w:tc>
      </w:tr>
      <w:tr>
        <w:tc>
          <w:tcPr/>
          <w:p>
            <w:pPr>
              <w:pStyle w:val="Compact"/>
              <w:jc w:val="left"/>
            </w:pPr>
            <w:r>
              <w:t xml:space="preserve">16.</w:t>
            </w:r>
          </w:p>
        </w:tc>
        <w:tc>
          <w:tcPr/>
          <w:p>
            <w:pPr>
              <w:pStyle w:val="Compact"/>
              <w:jc w:val="left"/>
            </w:pPr>
            <w:r>
              <w:t xml:space="preserve">Riesgo.auditor</w:t>
            </w:r>
          </w:p>
        </w:tc>
        <w:tc>
          <w:tcPr/>
          <w:p>
            <w:pPr>
              <w:pStyle w:val="Compact"/>
              <w:jc w:val="left"/>
            </w:pPr>
            <w:r>
              <w:t xml:space="preserve">Stakeholder</w:t>
            </w:r>
          </w:p>
        </w:tc>
      </w:tr>
      <w:tr>
        <w:tc>
          <w:tcPr/>
          <w:p>
            <w:pPr>
              <w:pStyle w:val="Compact"/>
              <w:jc w:val="left"/>
            </w:pPr>
            <w:r>
              <w:t xml:space="preserve">17.</w:t>
            </w:r>
          </w:p>
        </w:tc>
        <w:tc>
          <w:tcPr/>
          <w:p>
            <w:pPr>
              <w:pStyle w:val="Compact"/>
              <w:jc w:val="left"/>
            </w:pPr>
            <w:r>
              <w:t xml:space="preserve">Riesgo.análisis</w:t>
            </w:r>
          </w:p>
        </w:tc>
        <w:tc>
          <w:tcPr/>
          <w:p>
            <w:pPr>
              <w:pStyle w:val="Compact"/>
              <w:jc w:val="left"/>
            </w:pPr>
            <w:r>
              <w:t xml:space="preserve">Stakeholder</w:t>
            </w:r>
          </w:p>
        </w:tc>
      </w:tr>
      <w:tr>
        <w:tc>
          <w:tcPr/>
          <w:p>
            <w:pPr>
              <w:pStyle w:val="Compact"/>
              <w:jc w:val="left"/>
            </w:pPr>
            <w:r>
              <w:t xml:space="preserve">18.</w:t>
            </w:r>
          </w:p>
        </w:tc>
        <w:tc>
          <w:tcPr/>
          <w:p>
            <w:pPr>
              <w:pStyle w:val="Compact"/>
              <w:jc w:val="left"/>
            </w:pPr>
            <w:r>
              <w:t xml:space="preserve">Riesgo.asesor</w:t>
            </w:r>
          </w:p>
        </w:tc>
        <w:tc>
          <w:tcPr/>
          <w:p>
            <w:pPr>
              <w:pStyle w:val="Compact"/>
              <w:jc w:val="left"/>
            </w:pPr>
            <w:r>
              <w:t xml:space="preserve">Stakeholder</w:t>
            </w:r>
          </w:p>
        </w:tc>
      </w:tr>
      <w:tr>
        <w:tc>
          <w:tcPr/>
          <w:p>
            <w:pPr>
              <w:pStyle w:val="Compact"/>
              <w:jc w:val="left"/>
            </w:pPr>
            <w:r>
              <w:t xml:space="preserve">19.</w:t>
            </w:r>
          </w:p>
        </w:tc>
        <w:tc>
          <w:tcPr/>
          <w:p>
            <w:pPr>
              <w:pStyle w:val="Compact"/>
              <w:jc w:val="left"/>
            </w:pPr>
            <w:r>
              <w:t xml:space="preserve">Security Resource</w:t>
            </w:r>
          </w:p>
        </w:tc>
        <w:tc>
          <w:tcPr/>
          <w:p>
            <w:pPr>
              <w:pStyle w:val="Compact"/>
              <w:jc w:val="left"/>
            </w:pPr>
            <w:r>
              <w:t xml:space="preserve">Architect</w:t>
            </w:r>
          </w:p>
        </w:tc>
      </w:tr>
      <w:tr>
        <w:tc>
          <w:tcPr/>
          <w:p>
            <w:pPr>
              <w:pStyle w:val="Compact"/>
              <w:jc w:val="left"/>
            </w:pPr>
            <w:r>
              <w:t xml:space="preserve">20.</w:t>
            </w:r>
          </w:p>
        </w:tc>
        <w:tc>
          <w:tcPr/>
          <w:p>
            <w:pPr>
              <w:pStyle w:val="Compact"/>
              <w:jc w:val="left"/>
            </w:pPr>
            <w:r>
              <w:t xml:space="preserve">Security Service</w:t>
            </w:r>
          </w:p>
        </w:tc>
        <w:tc>
          <w:tcPr/>
          <w:p>
            <w:pPr>
              <w:pStyle w:val="Compact"/>
              <w:jc w:val="left"/>
            </w:pPr>
            <w:r>
              <w:t xml:space="preserve">Capability</w:t>
            </w:r>
          </w:p>
        </w:tc>
      </w:tr>
      <w:tr>
        <w:tc>
          <w:tcPr/>
          <w:p>
            <w:pPr>
              <w:pStyle w:val="Compact"/>
              <w:jc w:val="left"/>
            </w:pPr>
            <w:r>
              <w:t xml:space="preserve">21.</w:t>
            </w:r>
          </w:p>
        </w:tc>
        <w:tc>
          <w:tcPr/>
          <w:p>
            <w:pPr>
              <w:pStyle w:val="Compact"/>
              <w:jc w:val="left"/>
            </w:pPr>
            <w:r>
              <w:t xml:space="preserve">Security Capability</w:t>
            </w:r>
          </w:p>
        </w:tc>
        <w:tc>
          <w:tcPr/>
          <w:p>
            <w:pPr>
              <w:pStyle w:val="Compact"/>
              <w:jc w:val="left"/>
            </w:pPr>
            <w:r>
              <w:t xml:space="preserve">Service</w:t>
            </w:r>
          </w:p>
        </w:tc>
      </w:tr>
    </w:tbl>
    <w:bookmarkEnd w:id="78"/>
    <w:bookmarkEnd w:id="0"/>
    <w:bookmarkEnd w:id="79"/>
    <w:bookmarkStart w:id="84" w:name="modelo-simple-de-riesgo-de-arquitectura"/>
    <w:p>
      <w:pPr>
        <w:pStyle w:val="Ttulo2"/>
      </w:pPr>
      <w:r>
        <w:t xml:space="preserve">Modelo Simple de Riesgo de Arquitectura</w:t>
      </w:r>
    </w:p>
    <w:p>
      <w:pPr>
        <w:pStyle w:val="FirstParagraph"/>
      </w:pPr>
      <w:r>
        <w:t xml:space="preserve">Desarrollamos un modelo de riesgo tomando como entrada un caso particular del FNA descrito anteriomente.</w:t>
      </w:r>
    </w:p>
    <w:bookmarkStart w:id="0" w:name="fig:2d0968f0-5cce-4d42-bae8-f40b1c2a6d49"/>
    <w:p>
      <w:pPr>
        <w:pStyle w:val="CaptionedFigure"/>
      </w:pPr>
      <w:bookmarkStart w:id="83" w:name="fig:"/>
      <w:r>
        <w:drawing>
          <wp:inline>
            <wp:extent cx="5600700" cy="6275174"/>
            <wp:effectExtent b="0" l="0" r="0" t="0"/>
            <wp:docPr descr="Imagen 5: Modelo de ejemplo para la representación de los artefactos, recursos, actividades y activos (software) afectados." title="" id="81" name="Picture"/>
            <a:graphic>
              <a:graphicData uri="http://schemas.openxmlformats.org/drawingml/2006/picture">
                <pic:pic>
                  <pic:nvPicPr>
                    <pic:cNvPr descr="images/modeloriesgo001.png" id="82" name="Picture"/>
                    <pic:cNvPicPr>
                      <a:picLocks noChangeArrowheads="1" noChangeAspect="1"/>
                    </pic:cNvPicPr>
                  </pic:nvPicPr>
                  <pic:blipFill>
                    <a:blip r:embed="rId80"/>
                    <a:stretch>
                      <a:fillRect/>
                    </a:stretch>
                  </pic:blipFill>
                  <pic:spPr bwMode="auto">
                    <a:xfrm>
                      <a:off x="0" y="0"/>
                      <a:ext cx="5600700" cy="6275174"/>
                    </a:xfrm>
                    <a:prstGeom prst="rect">
                      <a:avLst/>
                    </a:prstGeom>
                    <a:noFill/>
                    <a:ln w="9525">
                      <a:noFill/>
                      <a:headEnd/>
                      <a:tailEnd/>
                    </a:ln>
                  </pic:spPr>
                </pic:pic>
              </a:graphicData>
            </a:graphic>
          </wp:inline>
        </w:drawing>
      </w:r>
      <w:bookmarkEnd w:id="83"/>
    </w:p>
    <w:p>
      <w:pPr>
        <w:pStyle w:val="ImageCaption"/>
      </w:pPr>
      <w:r>
        <w:t xml:space="preserve">Imagen 5: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Para la identificación y seguimiento del estado del riesgo necesitamos darle una identificación única. En el modelo que presentamos el identificador es el 001.</w:t>
      </w:r>
    </w:p>
    <w:bookmarkEnd w:id="84"/>
    <w:bookmarkEnd w:id="85"/>
    <w:bookmarkStart w:id="90" w:name="referencias"/>
    <w:p>
      <w:pPr>
        <w:pStyle w:val="Ttulo1"/>
      </w:pPr>
      <w:r>
        <w:t xml:space="preserve">Referencias</w:t>
      </w:r>
    </w:p>
    <w:bookmarkStart w:id="86" w:name="refs"/>
    <w:p>
      <w:pPr>
        <w:pStyle w:val="Bibliography"/>
      </w:pPr>
      <w:r>
        <w:t xml:space="preserve">E-Service. Situación SOA Actual del FNA. Etapa I. (2022).</w:t>
      </w:r>
    </w:p>
    <w:bookmarkEnd w:id="86"/>
    <w:bookmarkStart w:id="87" w:name="refs"/>
    <w:p>
      <w:pPr>
        <w:pStyle w:val="Bibliography"/>
      </w:pPr>
      <w:r>
        <w:t xml:space="preserve">E-Service. Arquitectura de Referencia del FNA. Etapa II. (2023).</w:t>
      </w:r>
    </w:p>
    <w:bookmarkEnd w:id="87"/>
    <w:bookmarkStart w:id="88" w:name="refs"/>
    <w:p>
      <w:pPr>
        <w:pStyle w:val="Bibliography"/>
      </w:pPr>
      <w:r>
        <w:t xml:space="preserve">E-Service. Hoja de Ruta e Iniciativas. Etapa III. (2023).</w:t>
      </w:r>
    </w:p>
    <w:bookmarkEnd w:id="88"/>
    <w:bookmarkStart w:id="89" w:name="refs"/>
    <w:p>
      <w:pPr>
        <w:pStyle w:val="Bibliography"/>
      </w:pPr>
      <w:r>
        <w:t xml:space="preserve">TOGAF 9.1. Risk Management (2023). En https://pubs.opengroup.org/architecture/togaf9-doc/arch/chap27.html</w:t>
      </w:r>
    </w:p>
    <w:bookmarkEnd w:id="89"/>
    <w:bookmarkEnd w:id="9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2" Target="media/rId62.png" /><Relationship Type="http://schemas.openxmlformats.org/officeDocument/2006/relationships/image" Id="rId59" Target="media/rId59.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67" Target="media/rId67.png" /><Relationship Type="http://schemas.openxmlformats.org/officeDocument/2006/relationships/image" Id="rId80" Target="media/rId80.png" /><Relationship Type="http://schemas.openxmlformats.org/officeDocument/2006/relationships/image" Id="rId72" Target="media/rId72.png" /><Relationship Type="http://schemas.openxmlformats.org/officeDocument/2006/relationships/image" Id="rId35" Target="media/rId35.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e981e26e5e6c1ee80d25691fbfdfed7c1036c5b8/"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7" Target="onenote:#N001d.sharepoint.com" TargetMode="External" /><Relationship Type="http://schemas.openxmlformats.org/officeDocument/2006/relationships/hyperlink" Id="rId48"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e981e26e5e6c1ee80d25691fbfdfed7c1036c5b8/"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7" Target="onenote:#N001d.sharepoint.com" TargetMode="External" /><Relationship Type="http://schemas.openxmlformats.org/officeDocument/2006/relationships/hyperlink" Id="rId48"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2023-07-02T14:54:34Z</dcterms:created>
  <dcterms:modified xsi:type="dcterms:W3CDTF">2023-07-02T14:54:34Z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2023-07-02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