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objetivo-del-documento"/>
    <w:p>
      <w:pPr>
        <w:pStyle w:val="Ttulo2"/>
      </w:pPr>
      <w:r>
        <w:t xml:space="preserve">Objetivo del Documento</w:t>
      </w:r>
    </w:p>
    <w:p>
      <w:pPr>
        <w:pStyle w:val="FirstParagraph"/>
      </w:pPr>
      <w:r>
        <w:t xml:space="preserve">Entrega de los productos de la Etapa 3, PR06. Modelos actualizados de los ítems de arquitectura impactados por el proyecto, del proyecto Gobierno SOA: Políticas, flujos de trabajo y personas que ejercitan y conforman (cumplen) con el gobierno SOA del FNA a desplegar a cargo de la oficina de arquitectura.</w:t>
      </w:r>
    </w:p>
    <w:bookmarkEnd w:id="20"/>
    <w:bookmarkStart w:id="22" w:name="control-de-cambios"/>
    <w:p>
      <w:pPr>
        <w:pStyle w:val="Ttulo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PRY01 Gobierno SOA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1.72ec5eb del 13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p>
      <w:pPr>
        <w:pStyle w:val="Textoindependiente"/>
      </w:pPr>
    </w:p>
    <w:p>
      <w:r>
        <w:br w:type="page"/>
      </w:r>
    </w:p>
    <w:bookmarkEnd w:id="22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2023-07-13T14:25:56Z</dcterms:created>
  <dcterms:modified xsi:type="dcterms:W3CDTF">2023-07-13T14:25:56Z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