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jpg" ContentType="image/jpeg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08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1.f3c7821</w:t>
      </w:r>
    </w:p>
    <w:p>
      <w:pPr>
        <w:pStyle w:val="FirstParagraph"/>
      </w:pPr>
    </w:p>
    <w:bookmarkStart w:id="33" w:name="Xf53165b1752df88c0ca7fe8e395bf18e65bf16d"/>
    <w:p>
      <w:pPr>
        <w:pStyle w:val="Ttulo1"/>
      </w:pPr>
      <w:r>
        <w:t xml:space="preserve">Producto 6: PR06. Modelos actualizados de los ítems de arquitectura impactados por el proyecto</w:t>
      </w:r>
    </w:p>
    <w:p>
      <w:pPr>
        <w:pStyle w:val="FirstParagraph"/>
      </w:pPr>
      <w:r>
        <w:t xml:space="preserve">De las primeras actividades de esta consultoría (Organización, Fase I, 2022) fue la organización de la información de arquitectura e ingeniería entregada al proyecto en su momento. El desglose de esta información es como sigue</w:t>
      </w:r>
    </w:p>
    <w:p>
      <w:pPr>
        <w:pStyle w:val="TableCaption"/>
      </w:pPr>
      <w:r>
        <w:t xml:space="preserve">Repositorio FNA (versión 0.1). Elementos de la línea base del repositorio de arquitectura FNA, versión 0.1.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positorio FNA (versión 0.1). Elementos de la línea base del repositorio de arquitectura FNA, versión 0.1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 de Entrada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Aplicación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Arquitectura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Contenidos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1311</w:t>
            </w: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Esta información constituye lo que llamamos el inventario inicial, línea base, del repositorio de arquitectura, versión 0.1.</w:t>
      </w:r>
    </w:p>
    <w:p>
      <w:pPr>
        <w:pStyle w:val="Textoindependiente"/>
      </w:pPr>
      <w:r>
        <w:t xml:space="preserve">A este producto del proyecto, PRY01, y en virtud de las actividades desarrolladas aquí (las cuales han actualizados la línea base de este repositorio) le corresponde hacer entrega de estas modificaciones al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Uno de los objetivos nominales del Gobierno SOA del FNA, objeto de este proyecto, es</w:t>
      </w:r>
      <w:r>
        <w:t xml:space="preserve"> </w:t>
      </w:r>
      <w:r>
        <w:rPr>
          <w:iCs/>
          <w:i/>
        </w:rPr>
        <w:t xml:space="preserve">aumentar la relevancia de los modelos de arquitectura de la empresa: instrumentos de encuentro para el entendimiento, análisis, y comunicación entre actores (ingenieros, arquitectos y proveedores)</w:t>
      </w:r>
      <w:r>
        <w:t xml:space="preserve">. Los modelos son por tanto el sujeto principal y la evidencia de la existencia del gobierno. De ahí que los modelos de arquitectura del FNA modificados a razón de este proyecto tengan la importancia tal para ser entregados en plena contribuición al repositorio de arquitectura y a este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Detalle de ítems de la línea base del FNA actualizados</w:t>
      </w:r>
    </w:p>
    <w:p>
      <w:pPr>
        <w:numPr>
          <w:ilvl w:val="0"/>
          <w:numId w:val="1001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1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2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2"/>
    <w:bookmarkStart w:id="27" w:name="X2260ad506a532d59ca3165e327d1d5490ed12e5"/>
    <w:p>
      <w:pPr>
        <w:pStyle w:val="Ttulo2"/>
      </w:pPr>
      <w:r>
        <w:t xml:space="preserve">Repositorio de Arquitectura del FNA, versión 0.1</w:t>
      </w:r>
    </w:p>
    <w:bookmarkStart w:id="0" w:name="fig:37b68b01-91b2-41ec-ae58-ece5de3fb5e2"/>
    <w:p>
      <w:pPr>
        <w:pStyle w:val="CaptionedFigure"/>
      </w:pPr>
      <w:bookmarkStart w:id="26" w:name="fig:"/>
      <w:r>
        <w:drawing>
          <wp:inline>
            <wp:extent cx="5600700" cy="2790366"/>
            <wp:effectExtent b="0" l="0" r="0" t="0"/>
            <wp:docPr descr="Imagen 1: Artefactos del repositorio de arquitectura del FNA." title="" id="24" name="Picture"/>
            <a:graphic>
              <a:graphicData uri="http://schemas.openxmlformats.org/drawingml/2006/picture">
                <pic:pic>
                  <pic:nvPicPr>
                    <pic:cNvPr descr="images/repofn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Artefactos del repositorio de arquitectura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bookmarkEnd w:id="27"/>
    <w:bookmarkStart w:id="32" w:name="modelo-de-implementación-del-pry01"/>
    <w:p>
      <w:pPr>
        <w:pStyle w:val="Ttulo2"/>
      </w:pPr>
      <w:r>
        <w:t xml:space="preserve">Modelo de Implementación del PRY01</w:t>
      </w:r>
    </w:p>
    <w:bookmarkStart w:id="0" w:name="fig:46abb51e-582b-404e-87ab-037de7ef7381"/>
    <w:p>
      <w:pPr>
        <w:pStyle w:val="CaptionedFigure"/>
      </w:pPr>
      <w:bookmarkStart w:id="31" w:name="fig:"/>
      <w:r>
        <w:drawing>
          <wp:inline>
            <wp:extent cx="5600700" cy="4499951"/>
            <wp:effectExtent b="0" l="0" r="0" t="0"/>
            <wp:docPr descr="Imagen 2: Plan de Implementación del Proyecto Gobierno SOA del FNA (PRY01), 2023. Junio 2023 a julio 2023" title="" id="29" name="Picture"/>
            <a:graphic>
              <a:graphicData uri="http://schemas.openxmlformats.org/drawingml/2006/picture">
                <pic:pic>
                  <pic:nvPicPr>
                    <pic:cNvPr descr="images/pry1gobierno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Imagen 2: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jp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2023-07-08T20:10:06Z</dcterms:created>
  <dcterms:modified xsi:type="dcterms:W3CDTF">2023-07-08T20:10:06Z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