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1.72ec5eb</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bade de modelos del FNA. Estos modelos fueron actualizados por el ejercicio actual y por tanto, los entrgamos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640d9759-13d7-4fa4-a265-ddd5fcf6cde7"/>
    <w:p>
      <w:pPr>
        <w:pStyle w:val="CaptionedFigure"/>
      </w:pPr>
      <w:bookmarkStart w:id="27" w:name="fi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6"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ejericcio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5"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2d1b715f-d948-48ff-9749-e39d8bc18b0c"/>
    <w:p>
      <w:pPr>
        <w:pStyle w:val="CaptionedFigure"/>
      </w:pPr>
      <w:bookmarkStart w:id="33" w:name="fig:"/>
      <w:r>
        <w:drawing>
          <wp:inline>
            <wp:extent cx="5600700" cy="9075398"/>
            <wp:effectExtent b="0" l="0" r="0" t="0"/>
            <wp:docPr descr="Figure 2: Vista de relación entre los procesos misionales del FNA con servicios y las aplicaciones. Los modelos de la línea base de arquitectura contienen poca información de esta relación."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con servicios y las aplicaciones. Los modelos de la línea base de arquitectura contienen poca información de esta relación.</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tecnlogía es algo que la Oficina de Arquitectura debe tener en su lista de trabajo.</w:t>
      </w:r>
    </w:p>
    <w:p>
      <w:pPr>
        <w:pStyle w:val="Textoindependiente"/>
      </w:pPr>
      <w:r>
        <w:t xml:space="preserve">El nivel de relacionamiento dado por el número de encuentro entre cada proceso y las aplicaciones del FNA, y que presentamos en la tabla siguiente, nos indica que los que agrupan la mayor cantidad de servicios (aplicaciones) son el proceso de Facturación y Cartera (23 relaciones a aplicaciones), el proceso de Gestión de Crédito (19 relaciones a aplicaciones) y el de Gestión Comercial (9 relaciones a aplicaciones). Abajo visualizamos las relaciones de uno de los procesos para conocer la aplicaiones del FNA con las que este tiene relación.</w:t>
      </w:r>
    </w:p>
    <w:bookmarkStart w:id="0" w:name="tbl:relaciones-id"/>
    <w:bookmarkStart w:id="34" w:name="tbl:relaciones-id"/>
    <w:p>
      <w:pPr>
        <w:pStyle w:val="TableCaption"/>
      </w:pPr>
      <w:r>
        <w:t xml:space="preserve">Table 1: (Fuente)</w:t>
      </w:r>
      <w:r>
        <w:t xml:space="preserve"> </w:t>
      </w:r>
      <w:r>
        <w:rPr>
          <w:iCs/>
          <w:i/>
        </w:rPr>
        <w:t xml:space="preserve">InventarioAplicacionesFNA.xlsx</w:t>
      </w:r>
      <w:r>
        <w:t xml:space="preserve">. Procesos del FNA con mayor cantidad de relaciones a servicios y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servicios y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Gestion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Gestion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34"/>
    <w:bookmarkEnd w:id="0"/>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2023-07-13T14:25:57Z</dcterms:created>
  <dcterms:modified xsi:type="dcterms:W3CDTF">2023-07-13T14:25:57Z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