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Indicadores de Efectividad de Gobierno y Arquitectura:</w:t>
            </w:r>
            <w:r>
              <w:t xml:space="preserve"> </w:t>
            </w:r>
            <w:r>
              <w:rPr>
                <w:bCs/>
                <w:b/>
              </w:rPr>
              <w:t xml:space="preserve">Detalle de ítems de la línea base del FNA actualizados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1.86703bf</w:t>
            </w:r>
            <w:r>
              <w:t xml:space="preserve"> </w:t>
            </w:r>
            <w:r>
              <w:t xml:space="preserve">del 12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d38afa9b08422d64bcb3210c424036e94e957e"/>
    <w:p>
      <w:pPr>
        <w:pStyle w:val="Ttulo1"/>
      </w:pPr>
      <w:r>
        <w:t xml:space="preserve">Detalle de ítems de la línea base del FNA actualizados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2023-07-12T17:09:30Z</dcterms:created>
  <dcterms:modified xsi:type="dcterms:W3CDTF">2023-07-12T17:09:30Z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