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1.941944c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3"/>
    <w:bookmarkStart w:id="24" w:name="Xc6d171f599fc148bcebebfe52d9569a3617c88b"/>
    <w:p>
      <w:pPr>
        <w:pStyle w:val="Ttulo2"/>
      </w:pPr>
      <w:r>
        <w:t xml:space="preserve">Criterios de Selección de la Línea Base de Modelos del FNA</w:t>
      </w:r>
    </w:p>
    <w:p>
      <w:pPr>
        <w:pStyle w:val="FirstParagraph"/>
      </w:pPr>
      <w:r>
        <w:t xml:space="preserve">La clave para mantener el orden de los modelos de arquitectura del FNA es la arquitectura de referencia 2.0 que se está desarrollando en el Proyecto 2, Arquitectura de Referencia SOA 2.0 del FNA.</w:t>
      </w:r>
      <w:r>
        <w:t xml:space="preserve"> </w:t>
      </w:r>
      <w:r>
        <w:t xml:space="preserve">El criterio que permite unir modelos Utilizamos la vista funcional</w:t>
      </w:r>
    </w:p>
    <w:bookmarkEnd w:id="24"/>
    <w:bookmarkStart w:id="25" w:name="X781a5bf552fab35d2e675dccfb0cf3870e67a2f"/>
    <w:p>
      <w:pPr>
        <w:pStyle w:val="Ttulo2"/>
      </w:pPr>
      <w:r>
        <w:t xml:space="preserve">Análisis de los Modelos Actualizados. Relación Negocio Tecnología</w:t>
      </w:r>
    </w:p>
    <w:p>
      <w:pPr>
        <w:pStyle w:val="FirstParagraph"/>
      </w:pPr>
      <w:r>
        <w:t xml:space="preserve">Sobre los modelos actualizados (a los que llamamos línea base de arquitectura del FNA) haremos algunas menciones que deben ser atendidas por la Oficina de Arquitectura del FNA, y sus involucrados.</w:t>
      </w:r>
    </w:p>
    <w:p>
      <w:pPr>
        <w:pStyle w:val="Textoindependiente"/>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2023-07-13T13:21:57Z</dcterms:created>
  <dcterms:modified xsi:type="dcterms:W3CDTF">2023-07-13T13:21:57Z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