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1.571e7a3</w:t>
      </w:r>
    </w:p>
    <w:p>
      <w:pPr>
        <w:pStyle w:val="FirstParagraph"/>
      </w:pPr>
    </w:p>
    <w:bookmarkStart w:id="28" w:name="Xc29656017c6718b97f14d1fae730199a241f8f9"/>
    <w:p>
      <w:pPr>
        <w:pStyle w:val="Ttulo1"/>
      </w:pPr>
      <w:r>
        <w:t xml:space="preserve">Producto 7: PR07. Indicadores de Efectividad de Gobierno y Arquitectura</w:t>
      </w:r>
    </w:p>
    <w:p>
      <w:pPr>
        <w:pStyle w:val="FirstParagraph"/>
      </w:pPr>
      <w:r>
        <w:t xml:space="preserve">Más allá de los índices propuestos por el diagnóstico de madurez SOA desarrollado en la Fase I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vínculos que extiende su utilidad hacia la toma de decisiones y la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95c3971c-4592-4351-bfe2-3126ce18827d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2023-08-02T11:20:52Z</dcterms:created>
  <dcterms:modified xsi:type="dcterms:W3CDTF">2023-08-02T11:20:52Z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