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12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1.dd4e33c</w:t>
      </w:r>
    </w:p>
    <w:p>
      <w:pPr>
        <w:pStyle w:val="FirstParagraph"/>
      </w:pPr>
    </w:p>
    <w:bookmarkStart w:id="28" w:name="Xc29656017c6718b97f14d1fae730199a241f8f9"/>
    <w:p>
      <w:pPr>
        <w:pStyle w:val="Ttulo1"/>
      </w:pPr>
      <w:r>
        <w:t xml:space="preserve">Producto 7: PR07. Indicadores de Efectividad de Gobierno y Arquitectura</w:t>
      </w:r>
    </w:p>
    <w:p>
      <w:pPr>
        <w:pStyle w:val="FirstParagraph"/>
      </w:pPr>
      <w:r>
        <w:t xml:space="preserve">Más allá de los índices propuestos por el diagnóstico de madurez SOA desarrollado en la Fase 1 de esta consultoría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), es clave que el FNA mantenga el vínculo de sus activos de tecnología (infraestructura, hardware, software, servicios SOA, …) con el contexto de negocio de las vicepresidencias de Operaciones, de Crédito, y demás áreas.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por desarrollar, mantener y vigilar, es la existencia y vigencia de estos vínculos entre los contextos de negocio y las arquitecturas FNA</w:t>
      </w:r>
      <w:r>
        <w:t xml:space="preserve">, vínculo que extiende su utilidad a la toma de decisiones y selección de proyectos de brecha tecnológica e infraestructura del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 clave de gestión) del gobierno SOA del FNA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(indicadores) de la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el uso y despliegue de tableros de gestión de arquitectura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Validación del despliegue de tableros de gestión de la arquitectura FNA</w:t>
      </w:r>
    </w:p>
    <w:p>
      <w:pPr>
        <w:numPr>
          <w:ilvl w:val="0"/>
          <w:numId w:val="1002"/>
        </w:numPr>
        <w:pStyle w:val="Compact"/>
      </w:pPr>
      <w:r>
        <w:t xml:space="preserve">Lista de indicadores de arquitectura posibles en 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916a00d1-9baf-4dd9-86ca-e886080d8b57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2023-07-12T16:48:29Z</dcterms:created>
  <dcterms:modified xsi:type="dcterms:W3CDTF">2023-07-12T16:48:29Z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