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Métricas de Efectividad de Arquitectura:</w:t>
            </w:r>
            <w:r>
              <w:t xml:space="preserve"> </w:t>
            </w:r>
            <w:r>
              <w:rPr>
                <w:bCs/>
                <w:b/>
              </w:rPr>
              <w:t xml:space="preserve">Sistema de Medición del Gobierno SOA del FNA: indicadores clave de gestión</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1.6ff69bb</w:t>
            </w:r>
            <w:r>
              <w:t xml:space="preserve"> </w:t>
            </w:r>
            <w:r>
              <w:t xml:space="preserve">del 10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p>
      <w:pPr>
        <w:pStyle w:val="Textoindependiente"/>
      </w:pPr>
      <w:hyperlink r:id="rId22">
        <w:r>
          <w:rPr>
            <w:rStyle w:val="Hipervnculo"/>
          </w:rPr>
          <w:t xml:space="preserve">007na1c. Capacidades y Gobierno SOA</w:t>
        </w:r>
      </w:hyperlink>
    </w:p>
    <w:bookmarkStart w:id="26" w:name="X35cb353a06c1ea9fd6944f61f514fc8484a066c"/>
    <w:p>
      <w:pPr>
        <w:pStyle w:val="Ttulo1"/>
      </w:pPr>
      <w:r>
        <w:t xml:space="preserve">Sistema de Medición del Gobierno SOA del FNA</w:t>
      </w:r>
    </w:p>
    <w:bookmarkStart w:id="23" w:name="Xda72c4ba6db968cef97040962dd1f5fd9164245"/>
    <w:p>
      <w:pPr>
        <w:pStyle w:val="Ttulo2"/>
      </w:pPr>
      <w:r>
        <w:t xml:space="preserve">Indicadores Clave del Desempeño del Gobierno</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explicaremos estas dos medidas.</w:t>
      </w:r>
    </w:p>
    <w:bookmarkEnd w:id="23"/>
    <w:bookmarkStart w:id="24"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p>
      <w:pPr>
        <w:pStyle w:val="Textoindependiente"/>
      </w:pPr>
    </w:p>
    <w:p>
      <w:pPr>
        <w:pStyle w:val="Textoindependiente"/>
      </w:pPr>
      <w:r>
        <w:t xml:space="preserve">explicación del diagrama.</w:t>
      </w:r>
    </w:p>
    <w:bookmarkEnd w:id="24"/>
    <w:bookmarkStart w:id="25"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2023-07-10T22:50:42Z</dcterms:created>
  <dcterms:modified xsi:type="dcterms:W3CDTF">2023-07-10T22:50:42Z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