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Métricas de Efectividad de Arquitectura:</w:t>
            </w:r>
            <w:r>
              <w:t xml:space="preserve"> </w:t>
            </w:r>
            <w:r>
              <w:rPr>
                <w:bCs/>
                <w:b/>
              </w:rPr>
              <w:t xml:space="preserve">Sistema de Medición del Gobierno SOA del FNA: indicadores clave de gestión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Medición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1.cd88643</w:t>
            </w:r>
            <w:r>
              <w:t xml:space="preserve"> </w:t>
            </w:r>
            <w:r>
              <w:t xml:space="preserve">del 10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2023-07-10T18:19:06Z</dcterms:created>
  <dcterms:modified xsi:type="dcterms:W3CDTF">2023-07-10T18:19:06Z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