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Métricas de Efectividad de Arquitectura:</w:t>
            </w:r>
            <w:r>
              <w:t xml:space="preserve"> </w:t>
            </w:r>
            <w:r>
              <w:rPr>
                <w:bCs/>
                <w:b/>
              </w:rPr>
              <w:t xml:space="preserve">Sistema de Medición del Gobierno SOA del FNA: indicadores clave de gestión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Medición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1.27d50be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007na1c. Capacidades y Gobierno SOA</w:t>
        </w:r>
      </w:hyperlink>
    </w:p>
    <w:bookmarkStart w:id="24" w:name="X35cb353a06c1ea9fd6944f61f514fc8484a066c"/>
    <w:p>
      <w:pPr>
        <w:pStyle w:val="Ttulo1"/>
      </w:pPr>
      <w:r>
        <w:t xml:space="preserve">Sistema de Medición del Gobierno SOA del FNA</w:t>
      </w:r>
    </w:p>
    <w:bookmarkStart w:id="23" w:name="Xda72c4ba6db968cef97040962dd1f5fd9164245"/>
    <w:p>
      <w:pPr>
        <w:pStyle w:val="Ttulo2"/>
      </w:pPr>
      <w:r>
        <w:t xml:space="preserve">Indicadores Clave del Desempeño del Gobierno</w:t>
      </w:r>
    </w:p>
    <w:p>
      <w:pPr>
        <w:pStyle w:val="FirstParagraph"/>
      </w:pPr>
      <w:r>
        <w:t xml:space="preserve">El objetivo de los índices de desempeño desarrollados en este capítulo es crear y sostener (alimentar) a un sistema de medición de gobierno SOA que de cuenta cuantitativa del progreso (o retroceso) de las capacidades de la arquitectura SOA del FNA.</w:t>
      </w:r>
    </w:p>
    <w:p>
      <w:pPr>
        <w:pStyle w:val="SourceCode"/>
      </w:pPr>
      <w:r>
        <w:rPr>
          <w:rStyle w:val="VerbatimChar"/>
        </w:rPr>
        <w:t xml:space="preserve">Nota: son conceptos distintos, aunque en la práctica son susceptibles de equivalencia: las capaciddades de las arquitecturas equivalen a los niveles de madurez SOA del FNA. </w:t>
      </w:r>
    </w:p>
    <w:p>
      <w:pPr>
        <w:pStyle w:val="FirstParagraph"/>
      </w:pPr>
      <w:r>
        <w:t xml:space="preserve">Para tal efecto, desarrollamos en ejercicio un sistema de medición del gobierno SOA para elFNA basado en dos medidas sintéticas:</w:t>
      </w:r>
    </w:p>
    <w:p>
      <w:pPr>
        <w:numPr>
          <w:ilvl w:val="0"/>
          <w:numId w:val="1001"/>
        </w:numPr>
        <w:pStyle w:val="Compact"/>
      </w:pPr>
      <w:r>
        <w:t xml:space="preserve">Medida de efectividad de costos de la arquitectura</w:t>
      </w:r>
    </w:p>
    <w:p>
      <w:pPr>
        <w:numPr>
          <w:ilvl w:val="0"/>
          <w:numId w:val="1001"/>
        </w:numPr>
        <w:pStyle w:val="Compact"/>
      </w:pPr>
      <w:r>
        <w:t xml:space="preserve">Medida de factibilidad de proyectos de arquitectura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2023-07-10T18:51:15Z</dcterms:created>
  <dcterms:modified xsi:type="dcterms:W3CDTF">2023-07-10T18:51:15Z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