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dicadores-operativos-del-gobierno-soa"/>
    <w:p>
      <w:pPr>
        <w:pStyle w:val="Ttulo2"/>
      </w:pPr>
      <w:r>
        <w:t xml:space="preserve">Indicadores Operativos del Gobierno SOA</w:t>
      </w:r>
    </w:p>
    <w:p>
      <w:pPr>
        <w:pStyle w:val="FirstParagraph"/>
      </w:pPr>
      <w:r>
        <w:t xml:space="preserve">Más allá de los índices propuestos por el análisis de madurez SOA desarrollado en la Fase 1 de este diagnóstico,</w:t>
      </w:r>
      <w:r>
        <w:t xml:space="preserve"> </w:t>
      </w:r>
      <w:r>
        <w:rPr>
          <w:iCs/>
          <w:i/>
        </w:rPr>
        <w:t xml:space="preserve">es clave que el FNA mantenga el vínculo de sus activos tanto de infraestructura como los activos SOA (y de todos, aunque no hagan parte del alcance de este ejercicio) con el contexto de negocio de las vicepresidencias de Operaciones y de Crédito</w:t>
      </w:r>
      <w:r>
        <w:t xml:space="preserve">. Esto es, el principal indicador del gobierno SOA es la existencia y la vigencia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de base para los procesos de obsolutamente todas las decisiones de cambio, mejora, inversión, recorte, y otras propias de la gestión de la tecnología SOA.</w:t>
      </w:r>
    </w:p>
    <w:p>
      <w:pPr>
        <w:pStyle w:val="Textoindependiente"/>
      </w:pPr>
      <w:r>
        <w:t xml:space="preserve">Sirve además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el indicador de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opeaciones de gestión de TI del FNA.</w:t>
      </w:r>
    </w:p>
    <w:bookmarkEnd w:id="20"/>
    <w:bookmarkStart w:id="26" w:name="X2c7d80a4d56320d625faede14ffe34205afaf66"/>
    <w:p>
      <w:pPr>
        <w:pStyle w:val="Ttulo2"/>
      </w:pPr>
      <w:r>
        <w:t xml:space="preserve">Indicadores Complementarios del Gobierno SOA</w:t>
      </w:r>
    </w:p>
    <w:p>
      <w:pPr>
        <w:pStyle w:val="FirstParagraph"/>
      </w:pPr>
      <w:r>
        <w:t xml:space="preserve">Los siguientes indicadores han sido escogidos para atacar los problemas en la gestión de SOA encontrados en la Fase 1 del presente diagnóstico (ver</w:t>
      </w:r>
      <w:r>
        <w:t xml:space="preserve"> </w:t>
      </w:r>
      <w:hyperlink r:id="rId21">
        <w:r>
          <w:rPr>
            <w:rStyle w:val="Hipervnculo"/>
          </w:rPr>
          <w:t xml:space="preserve">04b.Resumen Fase 1</w:t>
        </w:r>
      </w:hyperlink>
      <w:r>
        <w:t xml:space="preserve">). sirven de base de pirámide para el indicador principal.</w:t>
      </w:r>
    </w:p>
    <w:p>
      <w:pPr>
        <w:numPr>
          <w:ilvl w:val="0"/>
          <w:numId w:val="1001"/>
        </w:numPr>
        <w:pStyle w:val="Compact"/>
      </w:pPr>
      <w:r>
        <w:t xml:space="preserve">Índice de alineación de la arquitectura de referencia SOA con las capacidades de negocio</w:t>
      </w:r>
    </w:p>
    <w:p>
      <w:pPr>
        <w:numPr>
          <w:ilvl w:val="0"/>
          <w:numId w:val="1001"/>
        </w:numPr>
        <w:pStyle w:val="Compact"/>
      </w:pPr>
      <w:r>
        <w:t xml:space="preserve">Índice de conformidad de los servicios SOA a los estándares de diseño orientados a servicio</w:t>
      </w:r>
    </w:p>
    <w:p>
      <w:pPr>
        <w:numPr>
          <w:ilvl w:val="0"/>
          <w:numId w:val="1001"/>
        </w:numPr>
        <w:pStyle w:val="Compact"/>
      </w:pPr>
      <w:r>
        <w:t xml:space="preserve">Índice de reutilización y composición de los servicios SOA del portafolio FNA</w:t>
      </w:r>
    </w:p>
    <w:p>
      <w:pPr>
        <w:pStyle w:val="FirstParagraph"/>
      </w:pPr>
    </w:p>
    <w:p>
      <w:pPr>
        <w:pStyle w:val="Textoindependiente"/>
      </w:pPr>
      <w:r>
        <w:t xml:space="preserve">Cada uno de estos indicadores debe ser soportados con fuentes de información existentes o por desarrollar, que aparecen en la imagen como</w:t>
      </w:r>
      <w:r>
        <w:t xml:space="preserve"> </w:t>
      </w:r>
      <w:r>
        <w:rPr>
          <w:iCs/>
          <w:i/>
        </w:rPr>
        <w:t xml:space="preserve">Objeto de información</w:t>
      </w:r>
      <w:r>
        <w:t xml:space="preserve">.</w:t>
      </w:r>
    </w:p>
    <w:p>
      <w:pPr>
        <w:pStyle w:val="Figure"/>
      </w:pPr>
      <w:r>
        <w:drawing>
          <wp:inline>
            <wp:extent cx="5600700" cy="3248963"/>
            <wp:effectExtent b="0" l="0" r="0" t="0"/>
            <wp:docPr descr="" title="" id="23" name="Picture"/>
            <a:graphic>
              <a:graphicData uri="http://schemas.openxmlformats.org/drawingml/2006/picture">
                <pic:pic>
                  <pic:nvPicPr>
                    <pic:cNvPr descr="images/operativos.png" id="24" name="Picture"/>
                    <pic:cNvPicPr>
                      <a:picLocks noChangeArrowheads="1" noChangeAspect="1"/>
                    </pic:cNvPicPr>
                  </pic:nvPicPr>
                  <pic:blipFill>
                    <a:blip r:embed="rId22"/>
                    <a:stretch>
                      <a:fillRect/>
                    </a:stretch>
                  </pic:blipFill>
                  <pic:spPr bwMode="auto">
                    <a:xfrm>
                      <a:off x="0" y="0"/>
                      <a:ext cx="5600700" cy="3248963"/>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p>
      <w:pPr>
        <w:pStyle w:val="Textoindependiente"/>
      </w:pPr>
      <w:r>
        <w:t xml:space="preserve">Algunas fuentes u objetos de información sugeridas y ya existentes en el FNA son, por ejemplo, el número y tipo de requerimientos registrados en las herramienta de gestión, como Clear Case (IBM); los resultados de las evaluaciones de calidad de las implementaciones de los proveedores del Fondo; o el número de casos correctivos en un período contenidos en el Service Manager, entre otros.</w:t>
      </w:r>
    </w:p>
    <w:p>
      <w:pPr>
        <w:pStyle w:val="Textoindependiente"/>
      </w:pPr>
    </w:p>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1"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1"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2023-07-11T21:26:05Z</dcterms:created>
  <dcterms:modified xsi:type="dcterms:W3CDTF">2023-07-11T21:26:05Z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