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dicadores-operativos-del-gobierno-soa"/>
    <w:p>
      <w:pPr>
        <w:pStyle w:val="Ttulo2"/>
      </w:pPr>
      <w:r>
        <w:t xml:space="preserve">Indicadores Operativos del Gobierno SOA</w:t>
      </w:r>
    </w:p>
    <w:p>
      <w:pPr>
        <w:pStyle w:val="FirstParagraph"/>
      </w:pPr>
      <w:r>
        <w:t xml:space="preserve">Más allá de los índices propuestos por el análisis de madurez SOA desarrollado en la Fase 1 de este diagnóstico,</w:t>
      </w:r>
      <w:r>
        <w:t xml:space="preserve"> </w:t>
      </w:r>
      <w:r>
        <w:rPr>
          <w:iCs/>
          <w:i/>
        </w:rPr>
        <w:t xml:space="preserve">es clave que el FNA mantenga el vínculo de sus activos tanto de infraestructura como los activos SOA (y de todos, aunque no hagan parte del alcance de este ejercicio)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p>
    <w:p>
      <w:pPr>
        <w:pStyle w:val="Textoindependiente"/>
      </w:pP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bookmarkEnd w:id="20"/>
    <w:bookmarkStart w:id="26"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1">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bookmarkStart w:id="0" w:name="fig:cf62d6de-4619-453f-8e07-f2cead569859"/>
    <w:p>
      <w:pPr>
        <w:pStyle w:val="CaptionedFigure"/>
      </w:pPr>
      <w:bookmarkStart w:id="25" w:name="fig:"/>
      <w:r>
        <w:drawing>
          <wp:inline>
            <wp:extent cx="5600700" cy="3248963"/>
            <wp:effectExtent b="0" l="0" r="0" t="0"/>
            <wp:docPr descr="Figure 1: Indicador principal del gobierno SOA: KPI de Vínculo Contexto Negocio-SOA. Identifica y justifica los cambios SOA en relación al Valor de negocio." title="" id="23" name="Picture"/>
            <a:graphic>
              <a:graphicData uri="http://schemas.openxmlformats.org/drawingml/2006/picture">
                <pic:pic>
                  <pic:nvPicPr>
                    <pic:cNvPr descr="images/operativos.png" id="24" name="Picture"/>
                    <pic:cNvPicPr>
                      <a:picLocks noChangeArrowheads="1" noChangeAspect="1"/>
                    </pic:cNvPicPr>
                  </pic:nvPicPr>
                  <pic:blipFill>
                    <a:blip r:embed="rId22"/>
                    <a:stretch>
                      <a:fillRect/>
                    </a:stretch>
                  </pic:blipFill>
                  <pic:spPr bwMode="auto">
                    <a:xfrm>
                      <a:off x="0" y="0"/>
                      <a:ext cx="5600700" cy="3248963"/>
                    </a:xfrm>
                    <a:prstGeom prst="rect">
                      <a:avLst/>
                    </a:prstGeom>
                    <a:noFill/>
                    <a:ln w="9525">
                      <a:noFill/>
                      <a:headEnd/>
                      <a:tailEnd/>
                    </a:ln>
                  </pic:spPr>
                </pic:pic>
              </a:graphicData>
            </a:graphic>
          </wp:inline>
        </w:drawing>
      </w:r>
      <w:bookmarkEnd w:id="25"/>
    </w:p>
    <w:p>
      <w:pPr>
        <w:pStyle w:val="ImageCaption"/>
      </w:pPr>
      <w:r>
        <w:t xml:space="preserve">Figure 1: Indicador principal del gobierno SOA: KPI de Vínculo Contexto Negocio-SOA. Identifica y justifica los cambios SOA en relación al Valor de negocio.</w:t>
      </w:r>
    </w:p>
    <w:bookmarkEnd w:id="0"/>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1"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2023-07-13T13:22:01Z</dcterms:created>
  <dcterms:modified xsi:type="dcterms:W3CDTF">2023-07-13T13:22:01Z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