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indicadores-de-eficiencia-soa"/>
    <w:p>
      <w:pPr>
        <w:pStyle w:val="Ttulo2"/>
      </w:pPr>
      <w:r>
        <w:t xml:space="preserve">Indicadores de Eficiencia SOA</w:t>
      </w:r>
    </w:p>
    <w:p>
      <w:pPr>
        <w:pStyle w:val="FirstParagraph"/>
      </w:pPr>
      <w:r>
        <w:t xml:space="preserve">Además de los indicadores del proceso de gobierno SOA enunciados arriba, el FNA debe ejercer el gobierno SOA sobre los siguientes indicadores de eficiencia de la arquitectura de referencia.</w:t>
      </w:r>
    </w:p>
    <w:bookmarkStart w:id="24" w:name="X613dc9b64f9480fc1af9f127d0070c3e6fb1d53"/>
    <w:p>
      <w:pPr>
        <w:pStyle w:val="Ttulo3"/>
      </w:pPr>
      <w:r>
        <w:t xml:space="preserve">Del Análisis de Madurez SOA del FNA (Fase 1)</w:t>
      </w:r>
    </w:p>
    <w:p>
      <w:pPr>
        <w:pStyle w:val="FirstParagraph"/>
      </w:pPr>
      <w:r>
        <w:t xml:space="preserve">La dimensión que tuvo puntajes meritorios fue la de Negocio que alcanzó el segundo percentil de eficacia: 37 / 100. Este índice sintetiza el hecho de que operativamente SOA responde a las exigencias de negocio del FNA, pero con esfuerzos altos que seguramente afectan el retorno de inversión SOA.</w:t>
      </w:r>
    </w:p>
    <w:p>
      <w:pPr>
        <w:pStyle w:val="Textoindependiente"/>
      </w:pPr>
      <w:r>
        <w:t xml:space="preserve">Según los resultados internos del diagnóstico, los problemas del alto esfuerzo en la eficacia de la dimensión de negocio es causado por las dificultades siguientes:</w:t>
      </w:r>
      <w:r>
        <w:t xml:space="preserve"> </w:t>
      </w:r>
      <w:r>
        <w:t xml:space="preserve">1. El bajo grado de independencia de proveedor: (ver imagen abajo)</w:t>
      </w:r>
      <w:r>
        <w:t xml:space="preserve"> </w:t>
      </w:r>
      <w:r>
        <w:rPr>
          <w:iCs/>
          <w:i/>
        </w:rPr>
        <w:t xml:space="preserve">38 puntos / 100 puntos</w:t>
      </w:r>
      <w:r>
        <w:t xml:space="preserve"> </w:t>
      </w:r>
      <w:r>
        <w:t xml:space="preserve">1. Muy baja flexbilidad y tiempos de entrega (time-to-market):</w:t>
      </w:r>
      <w:r>
        <w:t xml:space="preserve"> </w:t>
      </w:r>
      <w:r>
        <w:rPr>
          <w:iCs/>
          <w:i/>
        </w:rPr>
        <w:t xml:space="preserve">20 / 100 puntos</w:t>
      </w:r>
      <w:r>
        <w:t xml:space="preserve">.</w:t>
      </w:r>
    </w:p>
    <w:bookmarkStart w:id="0" w:name="fig:a594210f-9be5-4107-bacc-2882c2ba5206"/>
    <w:p>
      <w:pPr>
        <w:pStyle w:val="CaptionedFigure"/>
      </w:pPr>
      <w:bookmarkStart w:id="23" w:name="fig:"/>
      <w:r>
        <w:drawing>
          <wp:inline>
            <wp:extent cx="5600700" cy="9521884"/>
            <wp:effectExtent b="0" l="0" r="0" t="0"/>
            <wp:docPr descr="Figure 1: Resultados Según los resultados internos del diagnóstico. Dimensión de Negocio." title="" id="21" name="Picture"/>
            <a:graphic>
              <a:graphicData uri="http://schemas.openxmlformats.org/drawingml/2006/picture">
                <pic:pic>
                  <pic:nvPicPr>
                    <pic:cNvPr descr="images/analisisSO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52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Resultados Según los resultados internos del diagnóstico. Dimensión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herramienta de diagnóstico de madurez SOA. Elaboración propia</w:t>
      </w:r>
      <w:r>
        <w:t xml:space="preserve">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2023-07-24T20:31:23Z</dcterms:created>
  <dcterms:modified xsi:type="dcterms:W3CDTF">2023-07-24T20:31:23Z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