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2">
        <w:r>
          <w:rPr>
            <w:rStyle w:val="Hipervnculo"/>
            <w:bCs/>
            <w:b/>
          </w:rPr>
          <w:t xml:space="preserve">eservices5-22?</w:t>
        </w:r>
      </w:hyperlink>
      <w:r>
        <w:t xml:space="preserve">]</w:t>
      </w:r>
      <w:r>
        <w:t xml:space="preserve"> </w:t>
      </w:r>
      <w:r>
        <w:t xml:space="preserve">* TOGAF 9.1. Risk Management (2023).</w:t>
      </w:r>
      <w:r>
        <w:t xml:space="preserve"> </w:t>
      </w:r>
      <w:r>
        <w:t xml:space="preserve">En https://pubs.opengroup.org/architecture/togaf9-doc/arch/chap27.html</w:t>
      </w:r>
      <w:r>
        <w:t xml:space="preserve"> </w:t>
      </w:r>
      <w:r>
        <w:t xml:space="preserve">* 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2023-07-06T18:06:55Z</dcterms:created>
  <dcterms:modified xsi:type="dcterms:W3CDTF">2023-07-06T18:06:55Z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