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8.png" ContentType="image/png"/>
  <Override PartName="/word/media/rId63.png" ContentType="image/png"/>
  <Override PartName="/word/media/rId40.jpg" ContentType="image/jpe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STEF@677d49e</w:t>
        </w:r>
      </w:hyperlink>
      <w:r>
        <w:t xml:space="preserve"> </w:t>
      </w:r>
      <w:r>
        <w:t xml:space="preserve">del July 11, 2023.</w:t>
      </w:r>
      <w:r>
        <w:t xml:space="preserve"> </w:t>
      </w:r>
    </w:p>
    <w:p>
      <w:pPr>
        <w:pStyle w:val="Textoindependiente"/>
      </w:pPr>
      <w:r>
        <w:t xml:space="preserve">   </w:t>
      </w:r>
      <w:r>
        <w:rPr>
          <w:bCs/>
          <w:b/>
        </w:rPr>
        <w:t xml:space="preserve">Versión</w:t>
      </w:r>
      <w:r>
        <w:t xml:space="preserve"> </w:t>
      </w:r>
      <w:r>
        <w:t xml:space="preserve">del producto 1.677d49e de 11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1.677d49e del 11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11 Jul 2023</w:t>
      </w:r>
    </w:p>
    <w:p>
      <w:pPr>
        <w:pStyle w:val="Textodebloque"/>
      </w:pPr>
      <w:r>
        <w:rPr>
          <w:bCs/>
          <w:b/>
        </w:rPr>
        <w:t xml:space="preserve">Versión</w:t>
      </w:r>
      <w:r>
        <w:t xml:space="preserve"> </w:t>
      </w:r>
      <w:r>
        <w:t xml:space="preserve">1.677d49e</w:t>
      </w:r>
    </w:p>
    <w:p>
      <w:pPr>
        <w:pStyle w:val="FirstParagraph"/>
      </w:pPr>
    </w:p>
    <w:bookmarkEnd w:id="31"/>
    <w:bookmarkStart w:id="45"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0821c9df-c878-410c-84f1-602e27bda58c"/>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4" w:name="modelo-de-implementación-del-pry01"/>
    <w:p>
      <w:pPr>
        <w:pStyle w:val="Ttulo2"/>
      </w:pPr>
      <w:r>
        <w:t xml:space="preserve">Modelo de Implementación del PRY01</w:t>
      </w:r>
    </w:p>
    <w:bookmarkStart w:id="0" w:name="fig:52b237b3-e59a-4e20-a209-750baa0fb4ac"/>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11 Jul 2023</w:t>
      </w:r>
    </w:p>
    <w:p>
      <w:pPr>
        <w:pStyle w:val="Textodebloque"/>
      </w:pPr>
      <w:r>
        <w:rPr>
          <w:bCs/>
          <w:b/>
        </w:rPr>
        <w:t xml:space="preserve">Versión</w:t>
      </w:r>
      <w:r>
        <w:t xml:space="preserve"> </w:t>
      </w:r>
      <w:r>
        <w:t xml:space="preserve">1.677d49e</w:t>
      </w:r>
    </w:p>
    <w:p>
      <w:pPr>
        <w:pStyle w:val="FirstParagraph"/>
      </w:pPr>
    </w:p>
    <w:bookmarkEnd w:id="44"/>
    <w:bookmarkEnd w:id="45"/>
    <w:bookmarkStart w:id="56" w:name="Xd510b26e2c84ce183dfca74fef7354edce0a97b"/>
    <w:p>
      <w:pPr>
        <w:pStyle w:val="Ttulo1"/>
      </w:pPr>
      <w:r>
        <w:t xml:space="preserve">Producto 7: PR07. Métricas de efectividad de arquitectura</w:t>
      </w:r>
    </w:p>
    <w:p>
      <w:pPr>
        <w:pStyle w:val="FirstParagraph"/>
      </w:pPr>
      <w:r>
        <w:t xml:space="preserve">Más allá de los índices propuestos por el diagnóstico de madurez SOA desarrollado en la Fase 1 de esta consultoría (</w:t>
      </w:r>
      <w:r>
        <w:t xml:space="preserve">[</w:t>
      </w:r>
      <w:hyperlink w:anchor="ref-eservices1-22">
        <w:r>
          <w:rPr>
            <w:rStyle w:val="Hipervnculo"/>
            <w:bCs/>
            <w:b/>
          </w:rPr>
          <w:t xml:space="preserve">eservices1-22?</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6"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eservices7-23">
        <w:r>
          <w:rPr>
            <w:rStyle w:val="Hipervnculo"/>
            <w:bCs/>
            <w:b/>
          </w:rPr>
          <w:t xml:space="preserve">eservices7-23?</w:t>
        </w:r>
      </w:hyperlink>
      <w:r>
        <w:t xml:space="preserve">]</w:t>
      </w:r>
      <w:r>
        <w:t xml:space="preserve">). Estas razones elevan a este como el principal indicador de gobierno SOA a desarrollar.</w:t>
      </w:r>
    </w:p>
    <w:bookmarkEnd w:id="46"/>
    <w:bookmarkStart w:id="47" w:name="contenidos-2"/>
    <w:p>
      <w:pPr>
        <w:pStyle w:val="Ttulo2"/>
      </w:pPr>
      <w:r>
        <w:t xml:space="preserve">Contenidos</w:t>
      </w:r>
    </w:p>
    <w:p>
      <w:pPr>
        <w:numPr>
          <w:ilvl w:val="0"/>
          <w:numId w:val="1004"/>
        </w:numPr>
        <w:pStyle w:val="Compact"/>
      </w:pPr>
      <w:r>
        <w:t xml:space="preserve">Sistema de medición (indicadores clave de gestión) del gobierno SOA del FNA</w:t>
      </w:r>
    </w:p>
    <w:p>
      <w:pPr>
        <w:numPr>
          <w:ilvl w:val="0"/>
          <w:numId w:val="1004"/>
        </w:numPr>
        <w:pStyle w:val="Compact"/>
      </w:pPr>
      <w:r>
        <w:t xml:space="preserve">Sistema de medición (indicadores) de la Oficina de Arquitectura del FNA</w:t>
      </w:r>
    </w:p>
    <w:p>
      <w:pPr>
        <w:numPr>
          <w:ilvl w:val="0"/>
          <w:numId w:val="1004"/>
        </w:numPr>
        <w:pStyle w:val="Compact"/>
      </w:pPr>
      <w:r>
        <w:t xml:space="preserve">Consideraciones para el uso y despliegue de tableros de gestión de arquitectura</w:t>
      </w:r>
    </w:p>
    <w:p>
      <w:pPr>
        <w:pStyle w:val="FirstParagraph"/>
      </w:pPr>
    </w:p>
    <w:bookmarkEnd w:id="47"/>
    <w:bookmarkStart w:id="48" w:name="criterios-de-aceptación-1"/>
    <w:p>
      <w:pPr>
        <w:pStyle w:val="Ttulo2"/>
      </w:pPr>
      <w:r>
        <w:t xml:space="preserve">Criterios de Aceptación</w:t>
      </w:r>
    </w:p>
    <w:p>
      <w:pPr>
        <w:numPr>
          <w:ilvl w:val="0"/>
          <w:numId w:val="1005"/>
        </w:numPr>
        <w:pStyle w:val="Compact"/>
      </w:pPr>
      <w:r>
        <w:t xml:space="preserve">Validación del despliegue de tableros de gestión de la arquitectura FNA</w:t>
      </w:r>
    </w:p>
    <w:p>
      <w:pPr>
        <w:numPr>
          <w:ilvl w:val="0"/>
          <w:numId w:val="1005"/>
        </w:numPr>
        <w:pStyle w:val="Compact"/>
      </w:pPr>
      <w:r>
        <w:t xml:space="preserve">Lista de indicadores de arquitectura posibles en el FNA</w:t>
      </w:r>
    </w:p>
    <w:p>
      <w:pPr>
        <w:pStyle w:val="FirstParagraph"/>
      </w:pPr>
    </w:p>
    <w:bookmarkEnd w:id="48"/>
    <w:bookmarkStart w:id="55" w:name="modelo-de-implementación-del-pry01-1"/>
    <w:p>
      <w:pPr>
        <w:pStyle w:val="Ttulo2"/>
      </w:pPr>
      <w:r>
        <w:t xml:space="preserve">Modelo de Implementación del PRY01</w:t>
      </w:r>
    </w:p>
    <w:bookmarkStart w:id="0" w:name="fig:4b044836-d218-4728-b818-7a9d6a5d9a19"/>
    <w:p>
      <w:pPr>
        <w:pStyle w:val="CaptionedFigure"/>
      </w:pPr>
      <w:bookmarkStart w:id="51" w:name="fig:"/>
      <w:r>
        <w:drawing>
          <wp:inline>
            <wp:extent cx="5600700" cy="4499951"/>
            <wp:effectExtent b="0" l="0" r="0" t="0"/>
            <wp:docPr descr="Imagen 3: Plan de Implementación del Proyecto Gobierno SOA del FNA (PRY01), 2023. Junio 2023 a julio 2023" title="" id="49" name="Picture"/>
            <a:graphic>
              <a:graphicData uri="http://schemas.openxmlformats.org/drawingml/2006/picture">
                <pic:pic>
                  <pic:nvPicPr>
                    <pic:cNvPr descr="images/pry1gobierno.jpg" id="50"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5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Métricas de Efectividad de Arquitectura:</w:t>
            </w:r>
            <w:r>
              <w:t xml:space="preserve"> </w:t>
            </w:r>
            <w:r>
              <w:rPr>
                <w:bCs/>
                <w:b/>
              </w:rPr>
              <w:t xml:space="preserve">Sistema de Medición del Gobierno SOA del FNA: indicadores clave de gestión</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1.677d49e</w:t>
            </w:r>
            <w:r>
              <w:t xml:space="preserve"> </w:t>
            </w:r>
            <w:r>
              <w:t xml:space="preserve">del 11 Jul 2023</w:t>
            </w:r>
          </w:p>
        </w:tc>
      </w:tr>
      <w:tr>
        <w:tc>
          <w:tcPr/>
          <w:p>
            <w:pPr>
              <w:pStyle w:val="Compact"/>
              <w:jc w:val="left"/>
            </w:pPr>
            <w:r>
              <w:t xml:space="preserve">Vínculos</w:t>
            </w:r>
          </w:p>
        </w:tc>
        <w:tc>
          <w:tcPr/>
          <w:p>
            <w:pPr>
              <w:pStyle w:val="Compact"/>
              <w:jc w:val="left"/>
            </w:pPr>
            <w:hyperlink r:id="rId52">
              <w:r>
                <w:rPr>
                  <w:rStyle w:val="Hipervnculo"/>
                </w:rPr>
                <w:t xml:space="preserve">Ejecución Plan de Trabajo SOA</w:t>
              </w:r>
            </w:hyperlink>
            <w:r>
              <w:t xml:space="preserve">;</w:t>
            </w:r>
            <w:r>
              <w:t xml:space="preserve"> </w:t>
            </w:r>
            <w:hyperlink r:id="rId53">
              <w:r>
                <w:rPr>
                  <w:rStyle w:val="Hipervnculo"/>
                </w:rPr>
                <w:t xml:space="preserve">Procesos de Negocio FNA</w:t>
              </w:r>
            </w:hyperlink>
          </w:p>
        </w:tc>
      </w:tr>
    </w:tbl>
    <w:p>
      <w:pPr>
        <w:pStyle w:val="Textoindependiente"/>
      </w:pPr>
    </w:p>
    <w:p>
      <w:pPr>
        <w:pStyle w:val="Textoindependiente"/>
      </w:pPr>
      <w:hyperlink r:id="rId54">
        <w:r>
          <w:rPr>
            <w:rStyle w:val="Hipervnculo"/>
          </w:rPr>
          <w:t xml:space="preserve">007na1c. Capacidades y Gobierno SOA</w:t>
        </w:r>
      </w:hyperlink>
    </w:p>
    <w:bookmarkEnd w:id="55"/>
    <w:bookmarkEnd w:id="56"/>
    <w:bookmarkStart w:id="68" w:name="X35cb353a06c1ea9fd6944f61f514fc8484a066c"/>
    <w:p>
      <w:pPr>
        <w:pStyle w:val="Ttulo1"/>
      </w:pPr>
      <w:r>
        <w:t xml:space="preserve">Sistema de Medición del Gobierno SOA del FNA</w:t>
      </w:r>
    </w:p>
    <w:bookmarkStart w:id="57" w:name="Xda72c4ba6db968cef97040962dd1f5fd9164245"/>
    <w:p>
      <w:pPr>
        <w:pStyle w:val="Ttulo2"/>
      </w:pPr>
      <w:r>
        <w:t xml:space="preserve">Indicadores Clave del Desempeño del Gobierno</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6"/>
        </w:numPr>
        <w:pStyle w:val="Compact"/>
      </w:pPr>
      <w:r>
        <w:t xml:space="preserve">Medida de efectividad de costos de la arquitectura</w:t>
      </w:r>
    </w:p>
    <w:p>
      <w:pPr>
        <w:numPr>
          <w:ilvl w:val="0"/>
          <w:numId w:val="1006"/>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explicaremos estas dos medidas.</w:t>
      </w:r>
    </w:p>
    <w:bookmarkEnd w:id="57"/>
    <w:bookmarkStart w:id="62"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50af2ecf-aa86-4878-a25f-73935b850108"/>
    <w:p>
      <w:pPr>
        <w:pStyle w:val="CaptionedFigure"/>
      </w:pPr>
      <w:bookmarkStart w:id="61" w:name="fig:"/>
      <w:r>
        <w:drawing>
          <wp:inline>
            <wp:extent cx="5600700" cy="5823804"/>
            <wp:effectExtent b="0" l="0" r="0" t="0"/>
            <wp:docPr descr="Imagen 4: Gobierno SOA del FNA Sistema de medición gobierno arquitecturas FNA. Medidas de efectividad de costos de inversión" title="" id="59" name="Picture"/>
            <a:graphic>
              <a:graphicData uri="http://schemas.openxmlformats.org/drawingml/2006/picture">
                <pic:pic>
                  <pic:nvPicPr>
                    <pic:cNvPr descr="images/efectividad.png" id="60" name="Picture"/>
                    <pic:cNvPicPr>
                      <a:picLocks noChangeArrowheads="1" noChangeAspect="1"/>
                    </pic:cNvPicPr>
                  </pic:nvPicPr>
                  <pic:blipFill>
                    <a:blip r:embed="rId58"/>
                    <a:stretch>
                      <a:fillRect/>
                    </a:stretch>
                  </pic:blipFill>
                  <pic:spPr bwMode="auto">
                    <a:xfrm>
                      <a:off x="0" y="0"/>
                      <a:ext cx="5600700" cy="5823804"/>
                    </a:xfrm>
                    <a:prstGeom prst="rect">
                      <a:avLst/>
                    </a:prstGeom>
                    <a:noFill/>
                    <a:ln w="9525">
                      <a:noFill/>
                      <a:headEnd/>
                      <a:tailEnd/>
                    </a:ln>
                  </pic:spPr>
                </pic:pic>
              </a:graphicData>
            </a:graphic>
          </wp:inline>
        </w:drawing>
      </w:r>
      <w:bookmarkEnd w:id="61"/>
    </w:p>
    <w:p>
      <w:pPr>
        <w:pStyle w:val="ImageCaption"/>
      </w:pPr>
      <w:r>
        <w:t xml:space="preserve">Imagen 4: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62"/>
    <w:bookmarkStart w:id="67"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283e1b45-5ebb-4a68-bc6f-240bcd851302"/>
    <w:p>
      <w:pPr>
        <w:pStyle w:val="CaptionedFigure"/>
      </w:pPr>
      <w:bookmarkStart w:id="66" w:name="fig:"/>
      <w:r>
        <w:drawing>
          <wp:inline>
            <wp:extent cx="5600700" cy="5637938"/>
            <wp:effectExtent b="0" l="0" r="0" t="0"/>
            <wp:docPr descr="Imagen 5: Gobierno SOA del FNA Sistema de medición gobierno arquitecturas FNA. Medidas de factibilidad de proyectos" title="" id="64" name="Picture"/>
            <a:graphic>
              <a:graphicData uri="http://schemas.openxmlformats.org/drawingml/2006/picture">
                <pic:pic>
                  <pic:nvPicPr>
                    <pic:cNvPr descr="images/factibilidad.png" id="65" name="Picture"/>
                    <pic:cNvPicPr>
                      <a:picLocks noChangeArrowheads="1" noChangeAspect="1"/>
                    </pic:cNvPicPr>
                  </pic:nvPicPr>
                  <pic:blipFill>
                    <a:blip r:embed="rId63"/>
                    <a:stretch>
                      <a:fillRect/>
                    </a:stretch>
                  </pic:blipFill>
                  <pic:spPr bwMode="auto">
                    <a:xfrm>
                      <a:off x="0" y="0"/>
                      <a:ext cx="5600700" cy="5637938"/>
                    </a:xfrm>
                    <a:prstGeom prst="rect">
                      <a:avLst/>
                    </a:prstGeom>
                    <a:noFill/>
                    <a:ln w="9525">
                      <a:noFill/>
                      <a:headEnd/>
                      <a:tailEnd/>
                    </a:ln>
                  </pic:spPr>
                </pic:pic>
              </a:graphicData>
            </a:graphic>
          </wp:inline>
        </w:drawing>
      </w:r>
      <w:bookmarkEnd w:id="66"/>
    </w:p>
    <w:p>
      <w:pPr>
        <w:pStyle w:val="ImageCaption"/>
      </w:pPr>
      <w:r>
        <w:t xml:space="preserve">Imagen 5: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p>
      <w:r>
        <w:br w:type="page"/>
      </w:r>
    </w:p>
    <w:bookmarkEnd w:id="67"/>
    <w:bookmarkEnd w:id="68"/>
    <w:bookmarkStart w:id="70" w:name="referencias"/>
    <w:p>
      <w:pPr>
        <w:pStyle w:val="Ttulo1"/>
      </w:pPr>
      <w:r>
        <w:t xml:space="preserve">Referencias</w:t>
      </w:r>
    </w:p>
    <w:bookmarkStart w:id="69" w:name="refs"/>
    <w:p>
      <w:pPr>
        <w:pStyle w:val="Bibliography"/>
      </w:pPr>
      <w:r>
        <w:t xml:space="preserve">[</w:t>
      </w:r>
      <w:hyperlink w:anchor="ref-eservices1-22">
        <w:r>
          <w:rPr>
            <w:rStyle w:val="Hipervnculo"/>
            <w:bCs/>
            <w:b/>
          </w:rPr>
          <w:t xml:space="preserve">eservices1-22?</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eservices4-22">
        <w:r>
          <w:rPr>
            <w:rStyle w:val="Hipervnculo"/>
            <w:bCs/>
            <w:b/>
          </w:rPr>
          <w:t xml:space="preserve">eservices4-22?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bptrends07">
        <w:r>
          <w:rPr>
            <w:rStyle w:val="Hipervnculo"/>
            <w:bCs/>
            <w:b/>
          </w:rPr>
          <w:t xml:space="preserve">bptrends07?</w:t>
        </w:r>
      </w:hyperlink>
      <w:r>
        <w:t xml:space="preserve">]</w:t>
      </w:r>
    </w:p>
    <w:bookmarkEnd w:id="69"/>
    <w:bookmarkEnd w:id="7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3/v/677d49ee76dfc93c07c36a0ff09a4b880bd38f0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3/v/677d49ee76dfc93c07c36a0ff09a4b880bd38f0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2023-07-11T15:36:23Z</dcterms:created>
  <dcterms:modified xsi:type="dcterms:W3CDTF">2023-07-11T15:36:23Z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