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png" ContentType="image/png"/>
  <Override PartName="/word/media/rId99.png" ContentType="image/png"/>
  <Override PartName="/word/media/rId83.png" ContentType="image/png"/>
  <Override PartName="/word/media/rId88.png" ContentType="image/png"/>
  <Override PartName="/word/media/rId94.png" ContentType="image/png"/>
  <Override PartName="/word/media/rId40.jpg" ContentType="image/jpeg"/>
  <Override PartName="/word/media/rId35.png" ContentType="image/png"/>
  <Override PartName="/word/media/rId63.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STEF@977981c</w:t>
        </w:r>
      </w:hyperlink>
      <w:r>
        <w:t xml:space="preserve"> </w:t>
      </w:r>
      <w:r>
        <w:t xml:space="preserve">del July 17, 2023.</w:t>
      </w:r>
      <w:r>
        <w:t xml:space="preserve"> </w:t>
      </w:r>
    </w:p>
    <w:p>
      <w:pPr>
        <w:pStyle w:val="Textoindependiente"/>
      </w:pPr>
      <w:r>
        <w:t xml:space="preserve">   </w:t>
      </w:r>
      <w:r>
        <w:rPr>
          <w:bCs/>
          <w:b/>
        </w:rPr>
        <w:t xml:space="preserve">Versión</w:t>
      </w:r>
      <w:r>
        <w:t xml:space="preserve"> </w:t>
      </w:r>
      <w:r>
        <w:t xml:space="preserve">del producto 1.977981c de 17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1.977981c del 17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1.977981c</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contribuición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6aa0e797-9c3e-4db9-ba1f-2cd3ce88287b"/>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6a5fc9e7-60c1-48da-a410-b6cb53d82b85"/>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1.977981c</w:t>
            </w:r>
            <w:r>
              <w:t xml:space="preserve"> </w:t>
            </w:r>
            <w:r>
              <w:t xml:space="preserve">del 17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9"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bade de modelos del FNA. Estos modelos fueron actualizados por el ejercicio actual y por tanto, los entrgamos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p>
      <w:pPr>
        <w:pStyle w:val="FirstParagraph"/>
      </w:pP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4ef45444-91de-4770-b167-1ce1c2899af6"/>
    <w:p>
      <w:pPr>
        <w:pStyle w:val="CaptionedFigure"/>
      </w:pPr>
      <w:bookmarkStart w:id="53" w:name="fi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62"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55"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ejericcio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55"/>
    <w:bookmarkStart w:id="61"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741090ca-bd80-4796-bc3c-3e7d7f0579b5"/>
    <w:p>
      <w:pPr>
        <w:pStyle w:val="CaptionedFigure"/>
      </w:pPr>
      <w:bookmarkStart w:id="59" w:name="fig:"/>
      <w:r>
        <w:drawing>
          <wp:inline>
            <wp:extent cx="5600700" cy="9075398"/>
            <wp:effectExtent b="0" l="0" r="0" t="0"/>
            <wp:docPr descr="Imagen 4: Vista de relación entre los procesos misionales del FNA con servicios y las aplicaciones. Los modelos de la línea base de arquitectura contienen poca información de esta relación." title="" id="57" name="Picture"/>
            <a:graphic>
              <a:graphicData uri="http://schemas.openxmlformats.org/drawingml/2006/picture">
                <pic:pic>
                  <pic:nvPicPr>
                    <pic:cNvPr descr="images/VistaRelacionProcesosServicios.png" id="58" name="Picture"/>
                    <pic:cNvPicPr>
                      <a:picLocks noChangeArrowheads="1" noChangeAspect="1"/>
                    </pic:cNvPicPr>
                  </pic:nvPicPr>
                  <pic:blipFill>
                    <a:blip r:embed="rId56"/>
                    <a:stretch>
                      <a:fillRect/>
                    </a:stretch>
                  </pic:blipFill>
                  <pic:spPr bwMode="auto">
                    <a:xfrm>
                      <a:off x="0" y="0"/>
                      <a:ext cx="5600700" cy="9075398"/>
                    </a:xfrm>
                    <a:prstGeom prst="rect">
                      <a:avLst/>
                    </a:prstGeom>
                    <a:noFill/>
                    <a:ln w="9525">
                      <a:noFill/>
                      <a:headEnd/>
                      <a:tailEnd/>
                    </a:ln>
                  </pic:spPr>
                </pic:pic>
              </a:graphicData>
            </a:graphic>
          </wp:inline>
        </w:drawing>
      </w:r>
      <w:bookmarkEnd w:id="59"/>
    </w:p>
    <w:p>
      <w:pPr>
        <w:pStyle w:val="ImageCaption"/>
      </w:pPr>
      <w:r>
        <w:t xml:space="preserve">Imagen 4: Vista de relación entre los procesos misionales del FNA con servicios y las aplicaciones. Los modelos de la línea base de arquitectura contienen poca información de esta relación.</w:t>
      </w:r>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tecnlogía es algo que la Oficina de Arquitectura debe tener en su lista de trabajo.</w:t>
      </w:r>
    </w:p>
    <w:p>
      <w:pPr>
        <w:pStyle w:val="Textoindependiente"/>
      </w:pPr>
      <w:r>
        <w:t xml:space="preserve">El nivel de relacionamiento dado por el número de encuentro entre cada proceso y las aplicaciones del FNA, y que presentamos en la tabla siguiente, nos indica que los que agrupan la mayor cantidad de servicios (aplicaciones) son el proceso de Facturación y Cartera (23 relaciones a aplicaciones), el proceso de Gestión de Crédito (19 relaciones a aplicaciones) y el de Gestión Comercial (9 relaciones a aplicaciones). Abajo visualizamos las relaciones de uno de los procesos para conocer la aplicaiones del FNA con las que este tiene relación.</w:t>
      </w:r>
    </w:p>
    <w:bookmarkStart w:id="0" w:name="tbl:relaciones-id"/>
    <w:bookmarkStart w:id="60" w:name="tbl:relaciones-id"/>
    <w:p>
      <w:pPr>
        <w:pStyle w:val="TableCaption"/>
      </w:pPr>
      <w:r>
        <w:t xml:space="preserve">Tabla 1: (Fuente)</w:t>
      </w:r>
      <w:r>
        <w:t xml:space="preserve"> </w:t>
      </w:r>
      <w:r>
        <w:rPr>
          <w:iCs/>
          <w:i/>
        </w:rPr>
        <w:t xml:space="preserve">InventarioAplicacionesFNA.xlsx</w:t>
      </w:r>
      <w:r>
        <w:t xml:space="preserve">. Procesos del FNA con mayor cantidad de relaciones a servicios y aplicaciones.</w:t>
      </w:r>
      <w:r>
        <w:t xml:space="preserve"> </w:t>
      </w:r>
    </w:p>
    <w:tbl>
      <w:tblPr>
        <w:tblStyle w:val="Table"/>
        <w:tblW w:type="auto" w:w="0"/>
        <w:tblLook w:firstRow="1" w:lastRow="0" w:firstColumn="0" w:lastColumn="0" w:noHBand="0" w:noVBand="0" w:val="0020"/>
        <w:tblCaption w:val="Tabla 1: (Fuente) InventarioAplicacionesFNA.xlsx. Procesos del FNA con mayor cantidad de relaciones a servicios y aplicaciones. "/>
      </w:tblPr>
      <w:tblGrid>
        <w:gridCol w:w="3960"/>
        <w:gridCol w:w="3960"/>
      </w:tblGrid>
      <w:tr>
        <w:trPr>
          <w:tblHeader w:val="true"/>
        </w:trPr>
        <w:tc>
          <w:tcPr/>
          <w:p>
            <w:pPr>
              <w:pStyle w:val="Compact"/>
              <w:jc w:val="left"/>
            </w:pPr>
            <w:r>
              <w:rPr>
                <w:bCs/>
                <w:b/>
              </w:rPr>
              <w:t xml:space="preserve">Proceso</w:t>
            </w:r>
          </w:p>
        </w:tc>
        <w:tc>
          <w:tcPr/>
          <w:p>
            <w:pPr>
              <w:pStyle w:val="Compact"/>
              <w:jc w:val="left"/>
            </w:pPr>
            <w:r>
              <w:rPr>
                <w:bCs/>
                <w:b/>
              </w:rPr>
              <w:t xml:space="preserve">Relaciones</w:t>
            </w:r>
          </w:p>
        </w:tc>
      </w:tr>
      <w:tr>
        <w:tc>
          <w:tcPr/>
          <w:p>
            <w:pPr>
              <w:pStyle w:val="Compact"/>
              <w:jc w:val="left"/>
            </w:pPr>
            <w:r>
              <w:t xml:space="preserve">Facturación y Cartera</w:t>
            </w:r>
          </w:p>
        </w:tc>
        <w:tc>
          <w:tcPr/>
          <w:p>
            <w:pPr>
              <w:pStyle w:val="Compact"/>
              <w:jc w:val="left"/>
            </w:pPr>
            <w:r>
              <w:rPr>
                <w:bCs/>
                <w:b/>
              </w:rPr>
              <w:t xml:space="preserve">23</w:t>
            </w:r>
          </w:p>
        </w:tc>
      </w:tr>
      <w:tr>
        <w:tc>
          <w:tcPr/>
          <w:p>
            <w:pPr>
              <w:pStyle w:val="Compact"/>
              <w:jc w:val="left"/>
            </w:pPr>
            <w:r>
              <w:t xml:space="preserve">Gestión de Crédito</w:t>
            </w:r>
          </w:p>
        </w:tc>
        <w:tc>
          <w:tcPr/>
          <w:p>
            <w:pPr>
              <w:pStyle w:val="Compact"/>
              <w:jc w:val="left"/>
            </w:pPr>
            <w:r>
              <w:rPr>
                <w:bCs/>
                <w:b/>
              </w:rPr>
              <w:t xml:space="preserve">19</w:t>
            </w:r>
          </w:p>
        </w:tc>
      </w:tr>
      <w:tr>
        <w:tc>
          <w:tcPr/>
          <w:p>
            <w:pPr>
              <w:pStyle w:val="Compact"/>
              <w:jc w:val="left"/>
            </w:pPr>
            <w:r>
              <w:t xml:space="preserve">Gestión Comercial</w:t>
            </w:r>
          </w:p>
        </w:tc>
        <w:tc>
          <w:tcPr/>
          <w:p>
            <w:pPr>
              <w:pStyle w:val="Compact"/>
              <w:jc w:val="left"/>
            </w:pPr>
            <w:r>
              <w:t xml:space="preserve">9</w:t>
            </w:r>
          </w:p>
        </w:tc>
      </w:tr>
      <w:tr>
        <w:tc>
          <w:tcPr/>
          <w:p>
            <w:pPr>
              <w:pStyle w:val="Compact"/>
              <w:jc w:val="left"/>
            </w:pPr>
            <w:r>
              <w:t xml:space="preserve">Cesantías</w:t>
            </w:r>
          </w:p>
        </w:tc>
        <w:tc>
          <w:tcPr/>
          <w:p>
            <w:pPr>
              <w:pStyle w:val="Compact"/>
              <w:jc w:val="left"/>
            </w:pPr>
            <w:r>
              <w:t xml:space="preserve">5</w:t>
            </w:r>
          </w:p>
        </w:tc>
      </w:tr>
      <w:tr>
        <w:tc>
          <w:tcPr/>
          <w:p>
            <w:pPr>
              <w:pStyle w:val="Compact"/>
              <w:jc w:val="left"/>
            </w:pPr>
            <w:r>
              <w:t xml:space="preserve">Comunicación</w:t>
            </w:r>
          </w:p>
        </w:tc>
        <w:tc>
          <w:tcPr/>
          <w:p>
            <w:pPr>
              <w:pStyle w:val="Compact"/>
              <w:jc w:val="left"/>
            </w:pPr>
            <w:r>
              <w:t xml:space="preserve">3</w:t>
            </w:r>
          </w:p>
        </w:tc>
      </w:tr>
      <w:tr>
        <w:tc>
          <w:tcPr/>
          <w:p>
            <w:pPr>
              <w:pStyle w:val="Compact"/>
              <w:jc w:val="left"/>
            </w:pPr>
            <w:r>
              <w:t xml:space="preserve">Gestión Jurídica</w:t>
            </w:r>
          </w:p>
        </w:tc>
        <w:tc>
          <w:tcPr/>
          <w:p>
            <w:pPr>
              <w:pStyle w:val="Compact"/>
              <w:jc w:val="left"/>
            </w:pPr>
            <w:r>
              <w:t xml:space="preserve">3</w:t>
            </w:r>
          </w:p>
        </w:tc>
      </w:tr>
      <w:tr>
        <w:tc>
          <w:tcPr/>
          <w:p>
            <w:pPr>
              <w:pStyle w:val="Compact"/>
              <w:jc w:val="left"/>
            </w:pPr>
            <w:r>
              <w:t xml:space="preserve">Contrataciones</w:t>
            </w:r>
          </w:p>
        </w:tc>
        <w:tc>
          <w:tcPr/>
          <w:p>
            <w:pPr>
              <w:pStyle w:val="Compact"/>
              <w:jc w:val="left"/>
            </w:pPr>
            <w:r>
              <w:t xml:space="preserve">3</w:t>
            </w:r>
          </w:p>
        </w:tc>
      </w:tr>
      <w:tr>
        <w:tc>
          <w:tcPr/>
          <w:p>
            <w:pPr>
              <w:pStyle w:val="Compact"/>
              <w:jc w:val="left"/>
            </w:pPr>
            <w:r>
              <w:t xml:space="preserve">Gestión Administrativa</w:t>
            </w:r>
          </w:p>
        </w:tc>
        <w:tc>
          <w:tcPr/>
          <w:p>
            <w:pPr>
              <w:pStyle w:val="Compact"/>
              <w:jc w:val="left"/>
            </w:pPr>
            <w:r>
              <w:t xml:space="preserve">3</w:t>
            </w:r>
          </w:p>
        </w:tc>
      </w:tr>
      <w:tr>
        <w:tc>
          <w:tcPr/>
          <w:p>
            <w:pPr>
              <w:pStyle w:val="Compact"/>
              <w:jc w:val="left"/>
            </w:pPr>
            <w:r>
              <w:t xml:space="preserve">Gestion Comercial</w:t>
            </w:r>
          </w:p>
        </w:tc>
        <w:tc>
          <w:tcPr/>
          <w:p>
            <w:pPr>
              <w:pStyle w:val="Compact"/>
              <w:jc w:val="left"/>
            </w:pPr>
            <w:r>
              <w:t xml:space="preserve">3</w:t>
            </w:r>
          </w:p>
        </w:tc>
      </w:tr>
      <w:tr>
        <w:tc>
          <w:tcPr/>
          <w:p>
            <w:pPr>
              <w:pStyle w:val="Compact"/>
              <w:jc w:val="left"/>
            </w:pPr>
            <w:r>
              <w:t xml:space="preserve">Mercadeo</w:t>
            </w:r>
          </w:p>
        </w:tc>
        <w:tc>
          <w:tcPr/>
          <w:p>
            <w:pPr>
              <w:pStyle w:val="Compact"/>
              <w:jc w:val="left"/>
            </w:pPr>
            <w:r>
              <w:t xml:space="preserve">2</w:t>
            </w:r>
          </w:p>
        </w:tc>
      </w:tr>
      <w:tr>
        <w:tc>
          <w:tcPr/>
          <w:p>
            <w:pPr>
              <w:pStyle w:val="Compact"/>
              <w:jc w:val="left"/>
            </w:pPr>
            <w:r>
              <w:t xml:space="preserve">Aporte de Cesantías</w:t>
            </w:r>
          </w:p>
        </w:tc>
        <w:tc>
          <w:tcPr/>
          <w:p>
            <w:pPr>
              <w:pStyle w:val="Compact"/>
              <w:jc w:val="left"/>
            </w:pPr>
            <w:r>
              <w:t xml:space="preserve">2</w:t>
            </w:r>
          </w:p>
        </w:tc>
      </w:tr>
      <w:tr>
        <w:tc>
          <w:tcPr/>
          <w:p>
            <w:pPr>
              <w:pStyle w:val="Compact"/>
              <w:jc w:val="left"/>
            </w:pPr>
            <w:r>
              <w:t xml:space="preserve">Gestión Comercial, Comunicación</w:t>
            </w:r>
          </w:p>
        </w:tc>
        <w:tc>
          <w:tcPr/>
          <w:p>
            <w:pPr>
              <w:pStyle w:val="Compact"/>
              <w:jc w:val="left"/>
            </w:pPr>
            <w:r>
              <w:t xml:space="preserve">1</w:t>
            </w:r>
          </w:p>
        </w:tc>
      </w:tr>
      <w:tr>
        <w:tc>
          <w:tcPr/>
          <w:p>
            <w:pPr>
              <w:pStyle w:val="Compact"/>
              <w:jc w:val="left"/>
            </w:pPr>
            <w:r>
              <w:t xml:space="preserve">Gestion Humana</w:t>
            </w:r>
          </w:p>
        </w:tc>
        <w:tc>
          <w:tcPr/>
          <w:p>
            <w:pPr>
              <w:pStyle w:val="Compact"/>
              <w:jc w:val="left"/>
            </w:pPr>
            <w:r>
              <w:t xml:space="preserve">1</w:t>
            </w:r>
          </w:p>
        </w:tc>
      </w:tr>
      <w:tr>
        <w:tc>
          <w:tcPr/>
          <w:p>
            <w:pPr>
              <w:pStyle w:val="Compact"/>
              <w:jc w:val="left"/>
            </w:pPr>
            <w:r>
              <w:t xml:space="preserve">Captación de Ahorro Voluntario</w:t>
            </w:r>
          </w:p>
        </w:tc>
        <w:tc>
          <w:tcPr/>
          <w:p>
            <w:pPr>
              <w:pStyle w:val="Compact"/>
              <w:jc w:val="left"/>
            </w:pPr>
            <w:r>
              <w:t xml:space="preserve">1</w:t>
            </w:r>
          </w:p>
        </w:tc>
      </w:tr>
      <w:tr>
        <w:tc>
          <w:tcPr/>
          <w:p>
            <w:pPr>
              <w:pStyle w:val="Compact"/>
              <w:jc w:val="left"/>
            </w:pPr>
            <w:r>
              <w:rPr>
                <w:bCs/>
                <w:b/>
              </w:rPr>
              <w:t xml:space="preserve">Total general</w:t>
            </w:r>
          </w:p>
        </w:tc>
        <w:tc>
          <w:tcPr/>
          <w:p>
            <w:pPr>
              <w:pStyle w:val="Compact"/>
              <w:jc w:val="left"/>
            </w:pPr>
            <w:r>
              <w:rPr>
                <w:bCs/>
                <w:b/>
              </w:rPr>
              <w:t xml:space="preserve">97</w:t>
            </w:r>
          </w:p>
        </w:tc>
      </w:tr>
    </w:tbl>
    <w:bookmarkEnd w:id="60"/>
    <w:bookmarkEnd w:id="0"/>
    <w:p>
      <w:pPr>
        <w:pStyle w:val="Textoindependiente"/>
      </w:pPr>
    </w:p>
    <w:bookmarkEnd w:id="61"/>
    <w:bookmarkEnd w:id="62"/>
    <w:bookmarkStart w:id="68"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7f01578a-f521-49d8-a301-95483e74dd09"/>
    <w:p>
      <w:pPr>
        <w:pStyle w:val="CaptionedFigure"/>
      </w:pPr>
      <w:bookmarkStart w:id="66" w:name="fig:"/>
      <w:r>
        <w:drawing>
          <wp:inline>
            <wp:extent cx="5600700" cy="6526387"/>
            <wp:effectExtent b="0" l="0" r="0" t="0"/>
            <wp:docPr descr="Imagen 5: Vista de capacidades del FNA, 2022. Criterio de selección de los servicios relacionados con las capacidades." title="" id="64" name="Picture"/>
            <a:graphic>
              <a:graphicData uri="http://schemas.openxmlformats.org/drawingml/2006/picture">
                <pic:pic>
                  <pic:nvPicPr>
                    <pic:cNvPr descr="images/vistaCapacidadesFNA.png" id="65" name="Picture"/>
                    <pic:cNvPicPr>
                      <a:picLocks noChangeArrowheads="1" noChangeAspect="1"/>
                    </pic:cNvPicPr>
                  </pic:nvPicPr>
                  <pic:blipFill>
                    <a:blip r:embed="rId63"/>
                    <a:stretch>
                      <a:fillRect/>
                    </a:stretch>
                  </pic:blipFill>
                  <pic:spPr bwMode="auto">
                    <a:xfrm>
                      <a:off x="0" y="0"/>
                      <a:ext cx="5600700" cy="6526387"/>
                    </a:xfrm>
                    <a:prstGeom prst="rect">
                      <a:avLst/>
                    </a:prstGeom>
                    <a:noFill/>
                    <a:ln w="9525">
                      <a:noFill/>
                      <a:headEnd/>
                      <a:tailEnd/>
                    </a:ln>
                  </pic:spPr>
                </pic:pic>
              </a:graphicData>
            </a:graphic>
          </wp:inline>
        </w:drawing>
      </w:r>
      <w:bookmarkEnd w:id="66"/>
    </w:p>
    <w:p>
      <w:pPr>
        <w:pStyle w:val="ImageCaption"/>
      </w:pPr>
      <w:r>
        <w:t xml:space="preserve">Imagen 5: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bookmarkStart w:id="0" w:name="tbl:relaciones-id"/>
    <w:bookmarkStart w:id="67" w:name="tbl:relaciones-id"/>
    <w:p>
      <w:pPr>
        <w:pStyle w:val="TableCaption"/>
      </w:pPr>
      <w:r>
        <w:t xml:space="preserve">Tabla 2:</w:t>
      </w:r>
      <w:r>
        <w:t xml:space="preserve"> </w:t>
      </w:r>
      <w:r>
        <w:rPr>
          <w:iCs/>
          <w:i/>
        </w:rPr>
        <w:t xml:space="preserve">Fuente: arquitectura fna.archimate</w:t>
      </w:r>
      <w:r>
        <w:t xml:space="preserve">. Servicios SOA del FNA relevantes para futuros diagnóstico sobre la línea base de arquitectura.</w:t>
      </w:r>
      <w:r>
        <w:t xml:space="preserve"> </w:t>
      </w:r>
    </w:p>
    <w:tbl>
      <w:tblPr>
        <w:tblStyle w:val="Table"/>
        <w:tblW w:type="pct" w:w="5000"/>
        <w:tblLook w:firstRow="1" w:lastRow="0" w:firstColumn="0" w:lastColumn="0" w:noHBand="0" w:noVBand="0" w:val="0020"/>
        <w:tblCaption w:val="Tabla 2: Fuente: arquitectura fna.archimate. Servicios SOA del FNA relevantes para futuros diagnóstico sobre la línea base de arquitectur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67"/>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1.977981c</w:t>
      </w:r>
    </w:p>
    <w:p>
      <w:pPr>
        <w:pStyle w:val="FirstParagraph"/>
      </w:pPr>
    </w:p>
    <w:bookmarkEnd w:id="68"/>
    <w:bookmarkEnd w:id="69"/>
    <w:bookmarkStart w:id="77"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0"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70"/>
    <w:bookmarkStart w:id="71"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71"/>
    <w:bookmarkStart w:id="72"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72"/>
    <w:bookmarkStart w:id="76" w:name="modelo-de-implementación-del-pry01-1"/>
    <w:p>
      <w:pPr>
        <w:pStyle w:val="Ttulo2"/>
      </w:pPr>
      <w:r>
        <w:t xml:space="preserve">Modelo de Implementación del PRY01</w:t>
      </w:r>
    </w:p>
    <w:bookmarkStart w:id="0" w:name="fig:53058d26-13e5-46b4-83da-cb0bc2007d33"/>
    <w:p>
      <w:pPr>
        <w:pStyle w:val="CaptionedFigure"/>
      </w:pPr>
      <w:bookmarkStart w:id="75" w:name="fig:"/>
      <w:r>
        <w:drawing>
          <wp:inline>
            <wp:extent cx="5600700" cy="4499951"/>
            <wp:effectExtent b="0" l="0" r="0" t="0"/>
            <wp:docPr descr="Imagen 6: Plan de Implementación del Proyecto Gobierno SOA del FNA (PRY01), 2023. Junio 2023 a julio 2023" title="" id="73" name="Picture"/>
            <a:graphic>
              <a:graphicData uri="http://schemas.openxmlformats.org/drawingml/2006/picture">
                <pic:pic>
                  <pic:nvPicPr>
                    <pic:cNvPr descr="images/pry1gobierno.jpg" id="74"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75"/>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1.977981c</w:t>
            </w:r>
            <w:r>
              <w:t xml:space="preserve"> </w:t>
            </w:r>
            <w:r>
              <w:t xml:space="preserve">del 17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6"/>
    <w:bookmarkEnd w:id="77"/>
    <w:bookmarkStart w:id="105"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seleccieon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81"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8"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8"/>
    <w:bookmarkStart w:id="79"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9"/>
    <w:bookmarkStart w:id="80"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retono de valor de una inversión, en el que se incorporan una serie de métricas de riesgo, utilidad, entre otras, y quedan expresadas en un solo valor.</w:t>
      </w:r>
    </w:p>
    <w:p>
      <w:pPr>
        <w:pStyle w:val="Textoindependiente"/>
      </w:pPr>
    </w:p>
    <w:bookmarkEnd w:id="80"/>
    <w:bookmarkEnd w:id="81"/>
    <w:bookmarkStart w:id="82"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82"/>
    <w:bookmarkStart w:id="87"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46649442-85a3-48fc-8978-0e7d61c3599d"/>
    <w:p>
      <w:pPr>
        <w:pStyle w:val="CaptionedFigure"/>
      </w:pPr>
      <w:bookmarkStart w:id="86" w:name="fig:"/>
      <w:r>
        <w:drawing>
          <wp:inline>
            <wp:extent cx="5600700" cy="5823804"/>
            <wp:effectExtent b="0" l="0" r="0" t="0"/>
            <wp:docPr descr="Imagen 7: Gobierno SOA del FNA Sistema de medición gobierno arquitecturas FNA. Medidas de efectividad de costos de inversión" title="" id="84" name="Picture"/>
            <a:graphic>
              <a:graphicData uri="http://schemas.openxmlformats.org/drawingml/2006/picture">
                <pic:pic>
                  <pic:nvPicPr>
                    <pic:cNvPr descr="images/efectividad.png" id="85" name="Picture"/>
                    <pic:cNvPicPr>
                      <a:picLocks noChangeArrowheads="1" noChangeAspect="1"/>
                    </pic:cNvPicPr>
                  </pic:nvPicPr>
                  <pic:blipFill>
                    <a:blip r:embed="rId83"/>
                    <a:stretch>
                      <a:fillRect/>
                    </a:stretch>
                  </pic:blipFill>
                  <pic:spPr bwMode="auto">
                    <a:xfrm>
                      <a:off x="0" y="0"/>
                      <a:ext cx="5600700" cy="5823804"/>
                    </a:xfrm>
                    <a:prstGeom prst="rect">
                      <a:avLst/>
                    </a:prstGeom>
                    <a:noFill/>
                    <a:ln w="9525">
                      <a:noFill/>
                      <a:headEnd/>
                      <a:tailEnd/>
                    </a:ln>
                  </pic:spPr>
                </pic:pic>
              </a:graphicData>
            </a:graphic>
          </wp:inline>
        </w:drawing>
      </w:r>
      <w:bookmarkEnd w:id="86"/>
    </w:p>
    <w:p>
      <w:pPr>
        <w:pStyle w:val="ImageCaption"/>
      </w:pPr>
      <w:r>
        <w:t xml:space="preserve">Imagen 7: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87"/>
    <w:bookmarkStart w:id="92"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df19aa32-9afd-40dd-87a2-adbe5598511e"/>
    <w:p>
      <w:pPr>
        <w:pStyle w:val="CaptionedFigure"/>
      </w:pPr>
      <w:bookmarkStart w:id="91" w:name="fig:"/>
      <w:r>
        <w:drawing>
          <wp:inline>
            <wp:extent cx="5600700" cy="5637938"/>
            <wp:effectExtent b="0" l="0" r="0" t="0"/>
            <wp:docPr descr="Imagen 8: Gobierno SOA del FNA Sistema de medición gobierno arquitecturas FNA. Medidas de factibilidad de proyectos" title="" id="89" name="Picture"/>
            <a:graphic>
              <a:graphicData uri="http://schemas.openxmlformats.org/drawingml/2006/picture">
                <pic:pic>
                  <pic:nvPicPr>
                    <pic:cNvPr descr="images/factibilidad.png" id="90" name="Picture"/>
                    <pic:cNvPicPr>
                      <a:picLocks noChangeArrowheads="1" noChangeAspect="1"/>
                    </pic:cNvPicPr>
                  </pic:nvPicPr>
                  <pic:blipFill>
                    <a:blip r:embed="rId88"/>
                    <a:stretch>
                      <a:fillRect/>
                    </a:stretch>
                  </pic:blipFill>
                  <pic:spPr bwMode="auto">
                    <a:xfrm>
                      <a:off x="0" y="0"/>
                      <a:ext cx="5600700" cy="5637938"/>
                    </a:xfrm>
                    <a:prstGeom prst="rect">
                      <a:avLst/>
                    </a:prstGeom>
                    <a:noFill/>
                    <a:ln w="9525">
                      <a:noFill/>
                      <a:headEnd/>
                      <a:tailEnd/>
                    </a:ln>
                  </pic:spPr>
                </pic:pic>
              </a:graphicData>
            </a:graphic>
          </wp:inline>
        </w:drawing>
      </w:r>
      <w:bookmarkEnd w:id="91"/>
    </w:p>
    <w:p>
      <w:pPr>
        <w:pStyle w:val="ImageCaption"/>
      </w:pPr>
      <w:r>
        <w:t xml:space="preserve">Imagen 8: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92"/>
    <w:bookmarkStart w:id="93"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End w:id="93"/>
    <w:bookmarkStart w:id="98"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bcb292c3-37fe-4870-b402-b6e5894abbc0"/>
    <w:p>
      <w:pPr>
        <w:pStyle w:val="CaptionedFigure"/>
      </w:pPr>
      <w:bookmarkStart w:id="97" w:name="fig:"/>
      <w:r>
        <w:drawing>
          <wp:inline>
            <wp:extent cx="5600700" cy="3248963"/>
            <wp:effectExtent b="0" l="0" r="0" t="0"/>
            <wp:docPr descr="Imagen 9: Indicador principal del gobierno SOA: KPI de Vínculo Contexto Negocio-SOA. Identifica y justifica los cambios SOA en relación al Valor de negocio." title="" id="95" name="Picture"/>
            <a:graphic>
              <a:graphicData uri="http://schemas.openxmlformats.org/drawingml/2006/picture">
                <pic:pic>
                  <pic:nvPicPr>
                    <pic:cNvPr descr="images/operativos.png" id="96" name="Picture"/>
                    <pic:cNvPicPr>
                      <a:picLocks noChangeArrowheads="1" noChangeAspect="1"/>
                    </pic:cNvPicPr>
                  </pic:nvPicPr>
                  <pic:blipFill>
                    <a:blip r:embed="rId94"/>
                    <a:stretch>
                      <a:fillRect/>
                    </a:stretch>
                  </pic:blipFill>
                  <pic:spPr bwMode="auto">
                    <a:xfrm>
                      <a:off x="0" y="0"/>
                      <a:ext cx="5600700" cy="3248963"/>
                    </a:xfrm>
                    <a:prstGeom prst="rect">
                      <a:avLst/>
                    </a:prstGeom>
                    <a:noFill/>
                    <a:ln w="9525">
                      <a:noFill/>
                      <a:headEnd/>
                      <a:tailEnd/>
                    </a:ln>
                  </pic:spPr>
                </pic:pic>
              </a:graphicData>
            </a:graphic>
          </wp:inline>
        </w:drawing>
      </w:r>
      <w:bookmarkEnd w:id="97"/>
    </w:p>
    <w:p>
      <w:pPr>
        <w:pStyle w:val="ImageCaption"/>
      </w:pPr>
      <w:r>
        <w:t xml:space="preserve">Imagen 9: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8"/>
    <w:bookmarkStart w:id="104"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03"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bookmarkStart w:id="0" w:name="fig:9d280083-30fa-40e6-9bb5-2ef5f3fcc065"/>
    <w:p>
      <w:pPr>
        <w:pStyle w:val="CaptionedFigure"/>
      </w:pPr>
      <w:bookmarkStart w:id="102" w:name="fig:"/>
      <w:r>
        <w:drawing>
          <wp:inline>
            <wp:extent cx="5600700" cy="9521884"/>
            <wp:effectExtent b="0" l="0" r="0" t="0"/>
            <wp:docPr descr="Imagen 10: Resultados Según los resultados internos del diagnóstico. Dimensión de Negocio." title="" id="100" name="Picture"/>
            <a:graphic>
              <a:graphicData uri="http://schemas.openxmlformats.org/drawingml/2006/picture">
                <pic:pic>
                  <pic:nvPicPr>
                    <pic:cNvPr descr="images/analisisSOA-1.png" id="101" name="Picture"/>
                    <pic:cNvPicPr>
                      <a:picLocks noChangeArrowheads="1" noChangeAspect="1"/>
                    </pic:cNvPicPr>
                  </pic:nvPicPr>
                  <pic:blipFill>
                    <a:blip r:embed="rId99"/>
                    <a:stretch>
                      <a:fillRect/>
                    </a:stretch>
                  </pic:blipFill>
                  <pic:spPr bwMode="auto">
                    <a:xfrm>
                      <a:off x="0" y="0"/>
                      <a:ext cx="5600700" cy="9521884"/>
                    </a:xfrm>
                    <a:prstGeom prst="rect">
                      <a:avLst/>
                    </a:prstGeom>
                    <a:noFill/>
                    <a:ln w="9525">
                      <a:noFill/>
                      <a:headEnd/>
                      <a:tailEnd/>
                    </a:ln>
                  </pic:spPr>
                </pic:pic>
              </a:graphicData>
            </a:graphic>
          </wp:inline>
        </w:drawing>
      </w:r>
      <w:bookmarkEnd w:id="102"/>
    </w:p>
    <w:p>
      <w:pPr>
        <w:pStyle w:val="ImageCaption"/>
      </w:pPr>
      <w:r>
        <w:t xml:space="preserve">Imagen 10: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103"/>
    <w:bookmarkEnd w:id="104"/>
    <w:bookmarkEnd w:id="105"/>
    <w:bookmarkStart w:id="117" w:name="referencias"/>
    <w:p>
      <w:pPr>
        <w:pStyle w:val="Ttulo1"/>
      </w:pPr>
      <w:r>
        <w:t xml:space="preserve">Referencias</w:t>
      </w:r>
    </w:p>
    <w:bookmarkStart w:id="11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10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9"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8">
        <w:r>
          <w:rPr>
            <w:rStyle w:val="Hipervnculo"/>
          </w:rPr>
          <w:t xml:space="preserve">https://hwong23.github.io/fna-dd-f2-e1/</w:t>
        </w:r>
      </w:hyperlink>
    </w:p>
    <w:bookmarkEnd w:id="109"/>
    <w:bookmarkStart w:id="110"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0"/>
    <w:bookmarkStart w:id="111"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1"/>
    <w:bookmarkStart w:id="113"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2">
        <w:r>
          <w:rPr>
            <w:rStyle w:val="Hipervnculo"/>
          </w:rPr>
          <w:t xml:space="preserve">https://pubs.opengroup.org/architecture/togaf9-doc/arch/chap27.html</w:t>
        </w:r>
      </w:hyperlink>
    </w:p>
    <w:bookmarkEnd w:id="113"/>
    <w:bookmarkStart w:id="114"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2">
        <w:r>
          <w:rPr>
            <w:rStyle w:val="Hipervnculo"/>
          </w:rPr>
          <w:t xml:space="preserve">https://pubs.opengroup.org/architecture/togaf9-doc/arch/chap27.html</w:t>
        </w:r>
      </w:hyperlink>
    </w:p>
    <w:bookmarkEnd w:id="114"/>
    <w:bookmarkStart w:id="11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8">
        <w:r>
          <w:rPr>
            <w:rStyle w:val="Hipervnculo"/>
          </w:rPr>
          <w:t xml:space="preserve">https://hwong23.github.io/fna-dd-f2-e1/</w:t>
        </w:r>
      </w:hyperlink>
    </w:p>
    <w:bookmarkEnd w:id="115"/>
    <w:bookmarkEnd w:id="116"/>
    <w:bookmarkEnd w:id="11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99" Target="media/rId99.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977981ce74077f75eac99446cc1cd91fb39d41b5/"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977981ce74077f75eac99446cc1cd91fb39d41b5/"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2023-07-17T17:44:11Z</dcterms:created>
  <dcterms:modified xsi:type="dcterms:W3CDTF">2023-07-17T17:44:11Z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