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9.png" ContentType="image/png"/>
  <Override PartName="/word/media/rId83.png" ContentType="image/png"/>
  <Override PartName="/word/media/rId88.png" ContentType="image/png"/>
  <Override PartName="/word/media/rId94.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STEF@9cb08eb</w:t>
        </w:r>
      </w:hyperlink>
      <w:r>
        <w:t xml:space="preserve"> </w:t>
      </w:r>
      <w:r>
        <w:t xml:space="preserve">del August 1, 2023.</w:t>
      </w:r>
      <w:r>
        <w:t xml:space="preserve"> </w:t>
      </w:r>
    </w:p>
    <w:p>
      <w:pPr>
        <w:pStyle w:val="Textoindependiente"/>
      </w:pPr>
      <w:r>
        <w:t xml:space="preserve">   </w:t>
      </w:r>
      <w:r>
        <w:rPr>
          <w:bCs/>
          <w:b/>
        </w:rPr>
        <w:t xml:space="preserve">Versión</w:t>
      </w:r>
      <w:r>
        <w:t xml:space="preserve"> </w:t>
      </w:r>
      <w:r>
        <w:t xml:space="preserve">del producto 1.9cb08eb de 01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y 4, productos PR06. Modelos actualizados de los ítems de arquitectura impactados por el proyecto y PR07. Indicadores de Efectividad de Gobierno y Arquitectura respectivamente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1.9cb08eb del 01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01 Aug 2023</w:t>
      </w:r>
    </w:p>
    <w:p>
      <w:pPr>
        <w:pStyle w:val="Textodebloque"/>
      </w:pPr>
      <w:r>
        <w:rPr>
          <w:bCs/>
          <w:b/>
        </w:rPr>
        <w:t xml:space="preserve">Versión</w:t>
      </w:r>
      <w:r>
        <w:t xml:space="preserve"> </w:t>
      </w:r>
      <w:r>
        <w:t xml:space="preserve">1.9cb08eb</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En este proyecto, los modelos son instrumentos de encuentro para el entendimiento, análisis, y comunicación entre actores (ingenieros, arquitectos, proveedores, líderes de grupo)</w:t>
      </w:r>
      <w:r>
        <w:t xml:space="preserve">. Los modelos son por tanto el sujeto principal y la evidencia de la existencia del gobierno. De ahí que los modelos de arquitectura del FNA modificados a razón de este proyecto tengan la importancia tal para ser entregados en plena contribución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737effc2-dd42-4389-840a-e2f49c1636db"/>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f2de825c-11f8-4c43-8197-ba1abfa532e1"/>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Modelos actualizados de los ítems de arquitectura impactados por el proyecto:</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1.9cb08eb</w:t>
            </w:r>
            <w:r>
              <w:t xml:space="preserve"> </w:t>
            </w:r>
            <w:r>
              <w:t xml:space="preserve">del 01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9"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base de modelos del FNA. Estos modelos fueron actualizados por el ejercicio actual y por tanto, los entregamos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p>
      <w:pPr>
        <w:pStyle w:val="FirstParagraph"/>
      </w:pP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vistafuncional.png"/>
    <w:p>
      <w:pPr>
        <w:pStyle w:val="CaptionedFigure"/>
      </w:pPr>
      <w:bookmarkStart w:id="53" w:name="fig:vistafuncional.pn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ejercicio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VistaRelacionProcesosServicios.png"/>
    <w:p>
      <w:pPr>
        <w:pStyle w:val="CaptionedFigure"/>
      </w:pPr>
      <w:bookmarkStart w:id="59" w:name="fig:VistaRelacionProcesosServicios.pn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tecnología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las aplicaciones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Gestión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Gestión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8"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877fd0a2-b4ba-45af-b8a7-76bee821aa3e"/>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bookmarkStart w:id="0" w:name="tbl:relaciones-id"/>
    <w:bookmarkStart w:id="67" w:name="tbl:relaciones-id"/>
    <w:p>
      <w:pPr>
        <w:pStyle w:val="TableCaption"/>
      </w:pPr>
      <w:r>
        <w:t xml:space="preserve">Tabla 2:</w:t>
      </w:r>
      <w:r>
        <w:t xml:space="preserve"> </w:t>
      </w:r>
      <w:r>
        <w:rPr>
          <w:iCs/>
          <w:i/>
        </w:rPr>
        <w:t xml:space="preserve">Fuente: arquitectura fna.archimate</w:t>
      </w:r>
      <w:r>
        <w:t xml:space="preserve">. Servicios SOA del FNA relevantes para futuros diagnóstico sobre la línea base de arquitectura.</w:t>
      </w:r>
      <w:r>
        <w:t xml:space="preserve"> </w:t>
      </w:r>
    </w:p>
    <w:tbl>
      <w:tblPr>
        <w:tblStyle w:val="Table"/>
        <w:tblW w:type="pct" w:w="5000"/>
        <w:tblLook w:firstRow="1" w:lastRow="0" w:firstColumn="0" w:lastColumn="0" w:noHBand="0" w:noVBand="0" w:val="0020"/>
        <w:tblCaption w:val="Tabla 2: Fuente: arquitectura fna.archimate. Servicios SOA del FNA relevantes para futuros diagnóstico sobre la línea base de arquitectura. "/>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bookmarkEnd w:id="67"/>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01 Aug 2023</w:t>
      </w:r>
    </w:p>
    <w:p>
      <w:pPr>
        <w:pStyle w:val="Textodebloque"/>
      </w:pPr>
      <w:r>
        <w:rPr>
          <w:bCs/>
          <w:b/>
        </w:rPr>
        <w:t xml:space="preserve">Versión</w:t>
      </w:r>
      <w:r>
        <w:t xml:space="preserve"> </w:t>
      </w:r>
      <w:r>
        <w:t xml:space="preserve">1.9cb08eb</w:t>
      </w:r>
    </w:p>
    <w:p>
      <w:pPr>
        <w:pStyle w:val="FirstParagraph"/>
      </w:pPr>
    </w:p>
    <w:bookmarkEnd w:id="68"/>
    <w:bookmarkEnd w:id="69"/>
    <w:bookmarkStart w:id="77"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70"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70"/>
    <w:bookmarkStart w:id="71"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1"/>
    <w:bookmarkStart w:id="72"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2"/>
    <w:bookmarkStart w:id="76" w:name="modelo-de-implementación-del-pry01-1"/>
    <w:p>
      <w:pPr>
        <w:pStyle w:val="Ttulo2"/>
      </w:pPr>
      <w:r>
        <w:t xml:space="preserve">Modelo de Implementación del PRY01</w:t>
      </w:r>
    </w:p>
    <w:bookmarkStart w:id="0" w:name="fig:7bfc1501-de33-494b-a506-84779f4b2905"/>
    <w:p>
      <w:pPr>
        <w:pStyle w:val="CaptionedFigure"/>
      </w:pPr>
      <w:bookmarkStart w:id="75" w:name="fig:"/>
      <w:r>
        <w:drawing>
          <wp:inline>
            <wp:extent cx="5600700" cy="4499951"/>
            <wp:effectExtent b="0" l="0" r="0" t="0"/>
            <wp:docPr descr="Imagen 6: Plan de Implementación del Proyecto Gobierno SOA del FNA (PRY01), 2023. Junio 2023 a julio 2023" title="" id="73" name="Picture"/>
            <a:graphic>
              <a:graphicData uri="http://schemas.openxmlformats.org/drawingml/2006/picture">
                <pic:pic>
                  <pic:nvPicPr>
                    <pic:cNvPr descr="images/pry1gobierno.jpg" id="74"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5"/>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1.9cb08eb</w:t>
            </w:r>
            <w:r>
              <w:t xml:space="preserve"> </w:t>
            </w:r>
            <w:r>
              <w:t xml:space="preserve">del 01 Aug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6"/>
    <w:bookmarkEnd w:id="77"/>
    <w:bookmarkStart w:id="105"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optimizar su desempeño para ser más concreto. A esto se suma que las potenciales medidas deben ser seleccionadas según criterios inherentes al objeto observado. En nuestro caso y contexto de este proyecto, un ejemplo de criterio de medición de eficiencia es el nivel de madurez tecnológico SOA de la empresa. Sin perjuicio de todo lo anterior, la tarea de elaborar un sistema de medidas puede llegar a ser inconmensurable, por un lado; y por otro, recolectar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1"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8"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8"/>
    <w:bookmarkStart w:id="79"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9"/>
    <w:bookmarkStart w:id="80"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retorno de valor de una inversión, en el que se incorporan una serie de métricas de riesgo, utilidad, entre otras, y quedan expresadas en un solo valor.</w:t>
      </w:r>
    </w:p>
    <w:p>
      <w:pPr>
        <w:pStyle w:val="Textoindependiente"/>
      </w:pPr>
    </w:p>
    <w:bookmarkEnd w:id="80"/>
    <w:bookmarkEnd w:id="81"/>
    <w:bookmarkStart w:id="82"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se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correlación positiva observable entre ellos. Es decir, cuando las capacidades de las arquitecturas aumentan, por lo general, aumenta también el nivel de madurez SOA de una arquitectura. De ahí que consideramos como equivalentes el nivel de desarrollo de las capacidades de la arquitectura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2"/>
    <w:bookmarkStart w:id="87"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7f3b99f5-98bf-4a4b-9ec0-ca1671ffcd60"/>
    <w:p>
      <w:pPr>
        <w:pStyle w:val="CaptionedFigure"/>
      </w:pPr>
      <w:bookmarkStart w:id="86" w:name="fig:"/>
      <w:r>
        <w:drawing>
          <wp:inline>
            <wp:extent cx="5600700" cy="5823804"/>
            <wp:effectExtent b="0" l="0" r="0" t="0"/>
            <wp:docPr descr="Imagen 7: Gobierno SOA del FNA Sistema de medición gobierno arquitecturas FNA. Medidas de efectividad de costos de inversión" title="" id="84" name="Picture"/>
            <a:graphic>
              <a:graphicData uri="http://schemas.openxmlformats.org/drawingml/2006/picture">
                <pic:pic>
                  <pic:nvPicPr>
                    <pic:cNvPr descr="images/efectividad.png" id="85" name="Picture"/>
                    <pic:cNvPicPr>
                      <a:picLocks noChangeArrowheads="1" noChangeAspect="1"/>
                    </pic:cNvPicPr>
                  </pic:nvPicPr>
                  <pic:blipFill>
                    <a:blip r:embed="rId83"/>
                    <a:stretch>
                      <a:fillRect/>
                    </a:stretch>
                  </pic:blipFill>
                  <pic:spPr bwMode="auto">
                    <a:xfrm>
                      <a:off x="0" y="0"/>
                      <a:ext cx="5600700" cy="5823804"/>
                    </a:xfrm>
                    <a:prstGeom prst="rect">
                      <a:avLst/>
                    </a:prstGeom>
                    <a:noFill/>
                    <a:ln w="9525">
                      <a:noFill/>
                      <a:headEnd/>
                      <a:tailEnd/>
                    </a:ln>
                  </pic:spPr>
                </pic:pic>
              </a:graphicData>
            </a:graphic>
          </wp:inline>
        </w:drawing>
      </w:r>
      <w:bookmarkEnd w:id="86"/>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7"/>
    <w:bookmarkStart w:id="92"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arquitectura de la empresa, que es equivalente a hablar de madurez SOA, es bajo o básico. Simplemente es imposible.</w:t>
      </w:r>
    </w:p>
    <w:bookmarkStart w:id="0" w:name="fig:829cd4f4-1de5-49ad-bcdb-e030a3854969"/>
    <w:p>
      <w:pPr>
        <w:pStyle w:val="CaptionedFigure"/>
      </w:pPr>
      <w:bookmarkStart w:id="91" w:name="fig:"/>
      <w:r>
        <w:drawing>
          <wp:inline>
            <wp:extent cx="5600700" cy="5637938"/>
            <wp:effectExtent b="0" l="0" r="0" t="0"/>
            <wp:docPr descr="Imagen 8: Gobierno SOA del FNA Sistema de medición gobierno arquitecturas FNA. Medidas de factibilidad de proyectos" title="" id="89" name="Picture"/>
            <a:graphic>
              <a:graphicData uri="http://schemas.openxmlformats.org/drawingml/2006/picture">
                <pic:pic>
                  <pic:nvPicPr>
                    <pic:cNvPr descr="images/factibilidad.png" id="90" name="Picture"/>
                    <pic:cNvPicPr>
                      <a:picLocks noChangeArrowheads="1" noChangeAspect="1"/>
                    </pic:cNvPicPr>
                  </pic:nvPicPr>
                  <pic:blipFill>
                    <a:blip r:embed="rId88"/>
                    <a:stretch>
                      <a:fillRect/>
                    </a:stretch>
                  </pic:blipFill>
                  <pic:spPr bwMode="auto">
                    <a:xfrm>
                      <a:off x="0" y="0"/>
                      <a:ext cx="5600700" cy="5637938"/>
                    </a:xfrm>
                    <a:prstGeom prst="rect">
                      <a:avLst/>
                    </a:prstGeom>
                    <a:noFill/>
                    <a:ln w="9525">
                      <a:noFill/>
                      <a:headEnd/>
                      <a:tailEnd/>
                    </a:ln>
                  </pic:spPr>
                </pic:pic>
              </a:graphicData>
            </a:graphic>
          </wp:inline>
        </w:drawing>
      </w:r>
      <w:bookmarkEnd w:id="91"/>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2"/>
    <w:bookmarkStart w:id="93"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absolutamente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End w:id="93"/>
    <w:bookmarkStart w:id="98"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9e10d9ed-82e2-4de0-b929-5674515f2d4f"/>
    <w:p>
      <w:pPr>
        <w:pStyle w:val="CaptionedFigure"/>
      </w:pPr>
      <w:bookmarkStart w:id="97" w:name="fig:"/>
      <w:r>
        <w:drawing>
          <wp:inline>
            <wp:extent cx="5600700" cy="3248963"/>
            <wp:effectExtent b="0" l="0" r="0" t="0"/>
            <wp:docPr descr="Imagen 9: Indicador principal del gobierno SOA: KPI de Vínculo Contexto Negocio-SOA. Identifica y justifica los cambios SOA en relación al Valor de negocio." title="" id="95" name="Picture"/>
            <a:graphic>
              <a:graphicData uri="http://schemas.openxmlformats.org/drawingml/2006/picture">
                <pic:pic>
                  <pic:nvPicPr>
                    <pic:cNvPr descr="images/operativos.png" id="96" name="Picture"/>
                    <pic:cNvPicPr>
                      <a:picLocks noChangeArrowheads="1" noChangeAspect="1"/>
                    </pic:cNvPicPr>
                  </pic:nvPicPr>
                  <pic:blipFill>
                    <a:blip r:embed="rId94"/>
                    <a:stretch>
                      <a:fillRect/>
                    </a:stretch>
                  </pic:blipFill>
                  <pic:spPr bwMode="auto">
                    <a:xfrm>
                      <a:off x="0" y="0"/>
                      <a:ext cx="5600700" cy="3248963"/>
                    </a:xfrm>
                    <a:prstGeom prst="rect">
                      <a:avLst/>
                    </a:prstGeom>
                    <a:noFill/>
                    <a:ln w="9525">
                      <a:noFill/>
                      <a:headEnd/>
                      <a:tailEnd/>
                    </a:ln>
                  </pic:spPr>
                </pic:pic>
              </a:graphicData>
            </a:graphic>
          </wp:inline>
        </w:drawing>
      </w:r>
      <w:bookmarkEnd w:id="97"/>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herramientas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8"/>
    <w:bookmarkStart w:id="104"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3"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son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flexibilidad y tiempos de entrega (time-to-market):</w:t>
      </w:r>
      <w:r>
        <w:t xml:space="preserve"> </w:t>
      </w:r>
      <w:r>
        <w:rPr>
          <w:iCs/>
          <w:i/>
        </w:rPr>
        <w:t xml:space="preserve">20 / 100 puntos</w:t>
      </w:r>
      <w:r>
        <w:t xml:space="preserve">.</w:t>
      </w:r>
    </w:p>
    <w:bookmarkStart w:id="0" w:name="fig:3f85cec2-f66e-4396-b017-9a3991950209"/>
    <w:p>
      <w:pPr>
        <w:pStyle w:val="CaptionedFigure"/>
      </w:pPr>
      <w:bookmarkStart w:id="102" w:name="fig:"/>
      <w:r>
        <w:drawing>
          <wp:inline>
            <wp:extent cx="5600700" cy="9521884"/>
            <wp:effectExtent b="0" l="0" r="0" t="0"/>
            <wp:docPr descr="Imagen 10: Resultados Según los resultados internos del diagnóstico. Dimensión de Negocio." title="" id="100" name="Picture"/>
            <a:graphic>
              <a:graphicData uri="http://schemas.openxmlformats.org/drawingml/2006/picture">
                <pic:pic>
                  <pic:nvPicPr>
                    <pic:cNvPr descr="images/analisisSOA-1.png" id="101" name="Picture"/>
                    <pic:cNvPicPr>
                      <a:picLocks noChangeArrowheads="1" noChangeAspect="1"/>
                    </pic:cNvPicPr>
                  </pic:nvPicPr>
                  <pic:blipFill>
                    <a:blip r:embed="rId99"/>
                    <a:stretch>
                      <a:fillRect/>
                    </a:stretch>
                  </pic:blipFill>
                  <pic:spPr bwMode="auto">
                    <a:xfrm>
                      <a:off x="0" y="0"/>
                      <a:ext cx="5600700" cy="9521884"/>
                    </a:xfrm>
                    <a:prstGeom prst="rect">
                      <a:avLst/>
                    </a:prstGeom>
                    <a:noFill/>
                    <a:ln w="9525">
                      <a:noFill/>
                      <a:headEnd/>
                      <a:tailEnd/>
                    </a:ln>
                  </pic:spPr>
                </pic:pic>
              </a:graphicData>
            </a:graphic>
          </wp:inline>
        </w:drawing>
      </w:r>
      <w:bookmarkEnd w:id="102"/>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3"/>
    <w:bookmarkEnd w:id="104"/>
    <w:bookmarkEnd w:id="105"/>
    <w:bookmarkStart w:id="117" w:name="referencias"/>
    <w:p>
      <w:pPr>
        <w:pStyle w:val="Ttulo1"/>
      </w:pPr>
      <w:r>
        <w:t xml:space="preserve">Referencias</w:t>
      </w:r>
    </w:p>
    <w:bookmarkStart w:id="116"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7"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9"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8">
        <w:r>
          <w:rPr>
            <w:rStyle w:val="Hipervnculo"/>
          </w:rPr>
          <w:t xml:space="preserve">https://hwong23.github.io/fna-dd-f2-e1/</w:t>
        </w:r>
      </w:hyperlink>
    </w:p>
    <w:bookmarkEnd w:id="109"/>
    <w:bookmarkStart w:id="110"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0"/>
    <w:bookmarkStart w:id="111"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11"/>
    <w:bookmarkStart w:id="113"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2">
        <w:r>
          <w:rPr>
            <w:rStyle w:val="Hipervnculo"/>
          </w:rPr>
          <w:t xml:space="preserve">https://pubs.opengroup.org/architecture/togaf9-doc/arch/chap27.html</w:t>
        </w:r>
      </w:hyperlink>
    </w:p>
    <w:bookmarkEnd w:id="113"/>
    <w:bookmarkStart w:id="114"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2">
        <w:r>
          <w:rPr>
            <w:rStyle w:val="Hipervnculo"/>
          </w:rPr>
          <w:t xml:space="preserve">https://pubs.opengroup.org/architecture/togaf9-doc/arch/chap27.html</w:t>
        </w:r>
      </w:hyperlink>
    </w:p>
    <w:bookmarkEnd w:id="114"/>
    <w:bookmarkStart w:id="115"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8">
        <w:r>
          <w:rPr>
            <w:rStyle w:val="Hipervnculo"/>
          </w:rPr>
          <w:t xml:space="preserve">https://hwong23.github.io/fna-dd-f2-e1/</w:t>
        </w:r>
      </w:hyperlink>
    </w:p>
    <w:bookmarkEnd w:id="115"/>
    <w:bookmarkEnd w:id="116"/>
    <w:bookmarkEnd w:id="11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9" Target="media/rId99.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9cb08eb7aea43ccb8b4f721bbc4863b11b93e242/"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8" Target="https://hwong23.github.io/fna-dd-f2-e1/" TargetMode="External" /><Relationship Type="http://schemas.openxmlformats.org/officeDocument/2006/relationships/hyperlink" Id="rId20" Target="https://hwong23.github.io/fna-dd-f2-e3/v/9cb08eb7aea43ccb8b4f721bbc4863b11b93e242/"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112"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2023-08-01T23:21:51Z</dcterms:created>
  <dcterms:modified xsi:type="dcterms:W3CDTF">2023-08-01T23:21:51Z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2023-08-01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