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STEF@fa18cbc</w:t>
        </w:r>
      </w:hyperlink>
      <w:r>
        <w:t xml:space="preserve"> </w:t>
      </w:r>
      <w:r>
        <w:t xml:space="preserve">del August 9, 2023.</w:t>
      </w:r>
      <w:r>
        <w:t xml:space="preserve"> </w:t>
      </w:r>
    </w:p>
    <w:p>
      <w:pPr>
        <w:pStyle w:val="Textoindependiente"/>
      </w:pPr>
      <w:r>
        <w:t xml:space="preserve">   </w:t>
      </w:r>
      <w:r>
        <w:rPr>
          <w:bCs/>
          <w:b/>
        </w:rPr>
        <w:t xml:space="preserve">Versión</w:t>
      </w:r>
      <w:r>
        <w:t xml:space="preserve"> </w:t>
      </w:r>
      <w:r>
        <w:t xml:space="preserve">del producto 1.fa18cbc de 09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y 4, productos PR06. Modelos actualizados de los ítems de arquitectura impactados por el proyecto y PR07. Indicadores de Efectividad de Gobierno y Arquitectura respectivamente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1.fa18cbc del 09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1.fa18cbc</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En este proyecto, los modelos son instrumentos de encuentro para el entendimiento, análisis, y comunicación entre actores (ingenieros, arquitectos, proveedores, líderes de grupo)</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a75af8f7-8c63-418f-9b6d-30392c8e72a6"/>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9232d0d9-5bac-440d-94d3-00a9ed2abf8f"/>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1.fa18cbc</w:t>
            </w:r>
            <w:r>
              <w:t xml:space="preserve"> </w:t>
            </w:r>
            <w:r>
              <w:t xml:space="preserve">del 09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vistafuncional.png"/>
    <w:p>
      <w:pPr>
        <w:pStyle w:val="CaptionedFigure"/>
      </w:pPr>
      <w:bookmarkStart w:id="53" w:name="fig:vistafuncional.pn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VistaRelacionProcesosServicios.png"/>
    <w:p>
      <w:pPr>
        <w:pStyle w:val="CaptionedFigure"/>
      </w:pPr>
      <w:bookmarkStart w:id="59" w:name="fig:VistaRelacionProcesosServicios.pn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41554173-8a71-4fcb-bee7-075fcef42ba0"/>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09 Aug 2023</w:t>
      </w:r>
    </w:p>
    <w:p>
      <w:pPr>
        <w:pStyle w:val="Textodebloque"/>
      </w:pPr>
      <w:r>
        <w:rPr>
          <w:bCs/>
          <w:b/>
        </w:rPr>
        <w:t xml:space="preserve">Versión</w:t>
      </w:r>
      <w:r>
        <w:t xml:space="preserve"> </w:t>
      </w:r>
      <w:r>
        <w:t xml:space="preserve">1.fa18cbc</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I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vínculos que extiende su utilidad hacia la toma de decisiones y la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fb3a5510-0320-4d00-8acd-11b83f9c80ac"/>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1.fa18cbc</w:t>
            </w:r>
            <w:r>
              <w:t xml:space="preserve"> </w:t>
            </w:r>
            <w:r>
              <w:t xml:space="preserve">del 09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optimizar su desempeño para ser más concreto. A esto se suma que las potenciales medidas deben ser seleccionadas según criterios inherentes al objeto observado. En nuestro caso y contexto de este proyecto, un ejemplo de criterio de medición de eficiencia es el nivel de madurez tecnológico SOA de la empresa. Sin perjuicio de todo lo anterior, la tarea de elaborar un sistema de medidas puede llegar a ser inconmensurable, por un lado; y por otro, recolectar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retorno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se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correlación positiva observable entre ellos. Es decir, cuando las capacidades de las arquitecturas aumentan, por lo general, aumenta también el nivel de madurez SOA de una arquitectura. De ahí que consideramos como equivalentes el nivel de desarrollo de las capacidades de la arquitectura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y que sin estos datos no podrían ser entendidas.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efectividad.png"/>
    <w:p>
      <w:pPr>
        <w:pStyle w:val="CaptionedFigure"/>
      </w:pPr>
      <w:bookmarkStart w:id="86" w:name="fig:efectividad.pn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realización exitosa, estos es, si el trabajo no cuenta con sustento en capacidades de arquitectura del FNA.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arquitectura de la empresa, que es equivalente a hablar de madurez SOA, es bajo o básico. Simplemente es imposible.</w:t>
      </w:r>
    </w:p>
    <w:bookmarkStart w:id="0" w:name="fig:factibilidad.png"/>
    <w:p>
      <w:pPr>
        <w:pStyle w:val="CaptionedFigure"/>
      </w:pPr>
      <w:bookmarkStart w:id="91" w:name="fig:factibilidad.pn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absolutamente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operativos.png"/>
    <w:p>
      <w:pPr>
        <w:pStyle w:val="CaptionedFigure"/>
      </w:pPr>
      <w:bookmarkStart w:id="97" w:name="fig:operativos.pn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herramientas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son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flexibilidad y tiempos de entrega (time-to-market):</w:t>
      </w:r>
      <w:r>
        <w:t xml:space="preserve"> </w:t>
      </w:r>
      <w:r>
        <w:rPr>
          <w:iCs/>
          <w:i/>
        </w:rPr>
        <w:t xml:space="preserve">20 / 100 puntos</w:t>
      </w:r>
      <w:r>
        <w:t xml:space="preserve">.</w:t>
      </w:r>
    </w:p>
    <w:bookmarkStart w:id="0" w:name="fig:ea5895a6-076c-4b85-b323-6ebeff8253a4"/>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fa18cbcf5c595f586550128ef87c0fa87c348ece/"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fa18cbcf5c595f586550128ef87c0fa87c348ece/"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2023-08-09T21:43:27Z</dcterms:created>
  <dcterms:modified xsi:type="dcterms:W3CDTF">2023-08-09T21:43:27Z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Modelos actualizados de los ítems de arquitectura impactados por el proyecto</vt:lpwstr>
  </property>
  <property fmtid="{D5CDD505-2E9C-101B-9397-08002B2CF9AE}" pid="18" name="references">
    <vt:lpwstr/>
  </property>
  <property fmtid="{D5CDD505-2E9C-101B-9397-08002B2CF9AE}" pid="19" name="tablenos-caption-name">
    <vt:lpwstr>Tabla</vt:lpwstr>
  </property>
</Properties>
</file>