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E-Service.</w:t>
      </w:r>
      <w:r>
        <w:t xml:space="preserve"> </w:t>
      </w:r>
      <w:r>
        <w:t xml:space="preserve">Fase</w:t>
      </w:r>
      <w:r>
        <w:t xml:space="preserve"> </w:t>
      </w:r>
      <w:r>
        <w:t xml:space="preserve">II.</w:t>
      </w:r>
      <w:r>
        <w:t xml:space="preserve"> </w:t>
      </w: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SOA.</w:t>
      </w:r>
      <w:r>
        <w:t xml:space="preserve"> </w:t>
      </w: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Contractuales.</w:t>
      </w:r>
      <w:r>
        <w:t xml:space="preserve"> </w:t>
      </w:r>
      <w:r>
        <w:t xml:space="preserve">Contrato</w:t>
      </w:r>
      <w:r>
        <w:t xml:space="preserve"> </w:t>
      </w:r>
      <w:r>
        <w:t xml:space="preserve">1812020</w:t>
      </w:r>
    </w:p>
    <w:p>
      <w:pPr>
        <w:pStyle w:val="Author"/>
      </w:pPr>
      <w:r>
        <w:t xml:space="preserve">Stefanini</w:t>
      </w:r>
    </w:p>
    <w:p>
      <w:pPr>
        <w:pStyle w:val="Fecha"/>
      </w:pPr>
      <w:r>
        <w:t xml:space="preserve">Mayo,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Version 07a6f6d del 30 May 2023</w:t>
      </w:r>
    </w:p>
    <w:p>
      <w:pPr>
        <w:pStyle w:val="Textoindependiente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E-Service. Fase II. PRY01 Gobierno SOA. Contenido de los Productos Contractuales. Contrato 1812020</dc:title>
  <dc:creator>Stefanini</dc:creator>
  <cp:keywords/>
  <dcterms:created xsi:type="dcterms:W3CDTF">2023-05-30T15:45:42Z</dcterms:created>
  <dcterms:modified xsi:type="dcterms:W3CDTF">2023-05-30T15:45:42Z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Mayo, 2023</vt:lpwstr>
  </property>
  <property fmtid="{D5CDD505-2E9C-101B-9397-08002B2CF9AE}" pid="6" name="link-citations">
    <vt:lpwstr>True</vt:lpwstr>
  </property>
  <property fmtid="{D5CDD505-2E9C-101B-9397-08002B2CF9AE}" pid="7" name="references">
    <vt:lpwstr/>
  </property>
</Properties>
</file>