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objetivo-del-documento"/>
    <w:p>
      <w:pPr>
        <w:pStyle w:val="Ttulo2"/>
      </w:pPr>
      <w:r>
        <w:t xml:space="preserve">Objetivo del Documento</w:t>
      </w:r>
    </w:p>
    <w:p>
      <w:pPr>
        <w:pStyle w:val="FirstParagraph"/>
      </w:pPr>
      <w:r>
        <w:t xml:space="preserve">Entrega del producto 1 (PR01) del proyecto Gobierno SOA: Lista de las partes de la arquitectura actual del FNA relacionados con el Gobierno SOA, objeto del proyecto.</w:t>
      </w:r>
    </w:p>
    <w:bookmarkEnd w:id="20"/>
    <w:bookmarkStart w:id="22" w:name="control-de-cambios"/>
    <w:p>
      <w:pPr>
        <w:pStyle w:val="Ttulo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440"/>
        <w:gridCol w:w="64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PRY01 Gobierno SOA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E-Service, FNA,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1.af12a2d del 04 Jun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</w:p>
    <w:p>
      <w:r>
        <w:pict>
          <v:rect style="width:0;height:1.5pt" o:hralign="center" o:hrstd="t" o:hr="t"/>
        </w:pict>
      </w:r>
    </w:p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2023-06-04T21:35:25Z</dcterms:created>
  <dcterms:modified xsi:type="dcterms:W3CDTF">2023-06-04T21:35:25Z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