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05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1.646a7d7</w:t>
      </w:r>
    </w:p>
    <w:p>
      <w:pPr>
        <w:pStyle w:val="FirstParagraph"/>
      </w:pPr>
    </w:p>
    <w:bookmarkStart w:id="23" w:name="X3a1264f05dd3cc9ee2158cf93d82fdfd57259e5"/>
    <w:p>
      <w:pPr>
        <w:pStyle w:val="Ttulo1"/>
      </w:pPr>
      <w:r>
        <w:t xml:space="preserve">Producto 1: PR01. Detalle de los ítems de arquitectura impactados por el proyecto</w:t>
      </w:r>
    </w:p>
    <w:p>
      <w:pPr>
        <w:pStyle w:val="FirstParagraph"/>
      </w:pPr>
      <w:r>
        <w:t xml:space="preserve">Lista de las partes de la arquitectura actual del FNA relacionados con el Gobierno SOA, objeto del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Facilitar la aprobación de los contenidos de los entregables del proyecto PRY01, Gobierno SOA, en su Etapa 0, tal que garantice la continuidad y ejecución de la etapa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Vista de segmento de la empresa, campo de acción del proyecto</w:t>
      </w:r>
    </w:p>
    <w:p>
      <w:pPr>
        <w:numPr>
          <w:ilvl w:val="0"/>
          <w:numId w:val="1001"/>
        </w:numPr>
        <w:pStyle w:val="Compact"/>
      </w:pPr>
      <w:r>
        <w:t xml:space="preserve">Justificación del segmento de la empresa susceptibles de gobierno</w:t>
      </w:r>
    </w:p>
    <w:p>
      <w:pPr>
        <w:numPr>
          <w:ilvl w:val="0"/>
          <w:numId w:val="1001"/>
        </w:numPr>
        <w:pStyle w:val="Compact"/>
      </w:pPr>
      <w:r>
        <w:t xml:space="preserve">Flujos críticos de trabajo sensibles al gobierno (relación con E-Service, Fase I)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los ítems de arquitectura y flujos críticos de trabajo sujetos al gobierno SOA</w:t>
      </w:r>
    </w:p>
    <w:p>
      <w:pPr>
        <w:numPr>
          <w:ilvl w:val="0"/>
          <w:numId w:val="1002"/>
        </w:numPr>
        <w:pStyle w:val="Compact"/>
      </w:pPr>
      <w:r>
        <w:t xml:space="preserve">Descripción de los ítems del segmento de la empresa del proyecto 1 (PRY01), gobierno SOA FNA</w:t>
      </w:r>
    </w:p>
    <w:p>
      <w:pPr>
        <w:pStyle w:val="FirstParagraph"/>
      </w:pP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2023-06-05T12:42:23Z</dcterms:created>
  <dcterms:modified xsi:type="dcterms:W3CDTF">2023-06-05T12:42:23Z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